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00"/>
      </w:pPr>
      <w:r>
        <w:t xml:space="preserve">Bloombruh — Research Write-Ups</w:t>
      </w:r>
    </w:p>
    <w:p>
      <w:pPr>
        <w:spacing w:after="120"/>
      </w:pPr>
      <w:r>
        <w:rPr>
          <w:i/>
          <w:iCs/>
        </w:rPr>
        <w:t xml:space="preserve">A collection of long-form, sourced research write-ups from bloombruh.com — kept as a downloadable document since they were too long for a chat reply and worth coming back to. Every factual claim traces to a real, cited source at the time it was written; treat the content as a dated snapshot, not a live feed.</w:t>
      </w:r>
    </w:p>
    <w:p>
      <w:pPr>
        <w:spacing w:after="400"/>
      </w:pPr>
      <w:r>
        <w:rPr>
          <w:color w:val="888888"/>
          <w:sz w:val="18"/>
          <w:szCs w:val="18"/>
        </w:rPr>
        <w:t xml:space="preserve">Downloaded from bloombruh.com</w:t>
      </w:r>
    </w:p>
    <w:p>
      <w:r>
        <w:br w:type="page"/>
      </w:r>
    </w:p>
    <w:p>
      <w:pPr>
        <w:pStyle w:val="Heading1"/>
        <w:spacing w:after="80" w:before="100"/>
      </w:pPr>
      <w:r>
        <w:t xml:space="preserve">Your Valuation-Model Learning Plan</w:t>
      </w:r>
    </w:p>
    <w:p>
      <w:pPr>
        <w:spacing w:after="40"/>
      </w:pPr>
      <w:r>
        <w:rPr>
          <w:i/>
          <w:iCs/>
          <w:color w:val="555555"/>
        </w:rPr>
        <w:t xml:space="preserve">Guided, from zero — sequenced for an NBIM equities goal, still open to S&amp;T/M&amp;A</w:t>
      </w:r>
    </w:p>
    <w:p>
      <w:pPr>
        <w:spacing w:after="240"/>
      </w:pPr>
      <w:r>
        <w:rPr>
          <w:color w:val="888888"/>
          <w:sz w:val="18"/>
          <w:szCs w:val="18"/>
        </w:rPr>
        <w:t xml:space="preserve">Written 2026-07-22</w:t>
      </w:r>
    </w:p>
    <w:p>
      <w:pPr>
        <w:pStyle w:val="Heading1"/>
        <w:spacing w:after="160" w:before="300"/>
      </w:pPr>
      <w:r>
        <w:t xml:space="preserve">Your valuation-model learning plan — guided, from zero</w:t>
      </w:r>
    </w:p>
    <w:p>
      <w:pPr>
        <w:spacing w:after="160"/>
        <w:jc w:val="left"/>
      </w:pPr>
      <w:r>
        <w:t xml:space="preserve">You've never built one, so this is written as a sequence: what to learn, why *this* order, what you actually do with your hands each step, and which of this site's own templates to practice on. It's angled toward NBIM's equities team specifically (that's your stated goal) but every phase stays useful for S&amp;T, M&amp;A, or any other seat, because the mechanics are the same everywhere — only what you *emphasize* changes.</w:t>
      </w:r>
    </w:p>
    <w:p>
      <w:pPr>
        <w:pStyle w:val="Heading2"/>
        <w:spacing w:after="120" w:before="300"/>
      </w:pPr>
      <w:r>
        <w:t xml:space="preserve">Why this order, specifically for NBIM</w:t>
      </w:r>
    </w:p>
    <w:p>
      <w:pPr>
        <w:spacing w:after="160"/>
        <w:jc w:val="left"/>
      </w:pPr>
      <w:r>
        <w:t xml:space="preserve">I checked what NBIM's equity team actually says about itself before writing this, rather than just handing you a generic banking curriculum. Two things matter:</w:t>
      </w:r>
    </w:p>
    <w:p>
      <w:pPr>
        <w:pStyle w:val="ListParagraph"/>
        <w:numPr>
          <w:ilvl w:val="0"/>
          <w:numId w:val="2"/>
        </w:numPr>
        <w:spacing w:after="80"/>
      </w:pPr>
      <w:r>
        <w:rPr>
          <w:b/>
          <w:bCs/>
        </w:rPr>
        <w:t xml:space="preserve">NBIM runs two equity strategies side by side: market exposure (enhanced indexing) and security selection (fundamental, bottom-up).</w:t>
      </w:r>
      <w:r>
        <w:t xml:space="preserve"> The security-selection side is built on "in-depth company knowledge" — real fundamental analysis, not just replicating the index. NBIM also allocates roughly $90–110bn to external managers who all run bottom-up fundamental strategies. That's your target skill: independent fundamental valuation, not just screening.</w:t>
      </w:r>
    </w:p>
    <w:p>
      <w:pPr>
        <w:pStyle w:val="ListParagraph"/>
        <w:numPr>
          <w:ilvl w:val="0"/>
          <w:numId w:val="2"/>
        </w:numPr>
        <w:spacing w:after="80"/>
      </w:pPr>
      <w:r>
        <w:rPr>
          <w:b/>
          <w:bCs/>
        </w:rPr>
        <w:t xml:space="preserve">NBIM's other whole pillar is active ownership</w:t>
      </w:r>
      <w:r>
        <w:t xml:space="preserve"> — expectation documents on climate (a 2030 Climate Action Plan, building on the 2025 one), human rights, and tax transparency, used as the basis for engaging with the companies they own. A NBIM-style analyst doesn't just ask "is this cheap" — they ask "what governance or sustainability risk could impair the cash flows my model assumes, that the model itself can't see." That's Phase 6 below, and it's the part a standard IB internship won't teach you, which is exactly why it's worth doing.</w:t>
      </w:r>
    </w:p>
    <w:p>
      <w:pPr>
        <w:spacing w:after="160"/>
        <w:jc w:val="left"/>
      </w:pPr>
      <w:r>
        <w:t xml:space="preserve">Sources: </w:t>
      </w:r>
      <w:hyperlink w:history="1" r:id="rIdctr_rue3eqreewedghpzd">
        <w:r>
          <w:rPr>
            <w:rStyle w:val="Hyperlink"/>
          </w:rPr>
          <w:t xml:space="preserve">NBIM Investment Strategy</w:t>
        </w:r>
      </w:hyperlink>
      <w:r>
        <w:t xml:space="preserve">, </w:t>
      </w:r>
      <w:hyperlink w:history="1" r:id="rIdy04pgeoy6lwilqd0y_h2v">
        <w:r>
          <w:rPr>
            <w:rStyle w:val="Hyperlink"/>
          </w:rPr>
          <w:t xml:space="preserve">NBIM 2030 Climate Action Plan</w:t>
        </w:r>
      </w:hyperlink>
      <w:r>
        <w:t xml:space="preserve">, </w:t>
      </w:r>
      <w:hyperlink w:history="1" r:id="rIdcuklik6467zahhxyuuvn8">
        <w:r>
          <w:rPr>
            <w:rStyle w:val="Hyperlink"/>
          </w:rPr>
          <w:t xml:space="preserve">NBIM Our Expectations</w:t>
        </w:r>
      </w:hyperlink>
    </w:p>
    <w:p>
      <w:pPr>
        <w:pBdr>
          <w:bottom w:val="single" w:color="999999" w:sz="6" w:space="4"/>
        </w:pBdr>
        <w:spacing w:after="200" w:before="200"/>
      </w:pPr>
    </w:p>
    <w:p>
      <w:pPr>
        <w:pStyle w:val="Heading2"/>
        <w:spacing w:after="120" w:before="300"/>
      </w:pPr>
      <w:r>
        <w:t xml:space="preserve">Phase 0 — Before any model: read a financial statement like it's a story, not a spreadsheet</w:t>
      </w:r>
    </w:p>
    <w:p>
      <w:pPr>
        <w:spacing w:after="160"/>
        <w:jc w:val="left"/>
      </w:pPr>
      <w:r>
        <w:t xml:space="preserve">Don't skip this. Every model downstream is just arithmetic wrapped around three statements. If you don't know what's inside them cold, the model becomes a black box you can't defend in an interview or actually trust as an investor.</w:t>
      </w:r>
    </w:p>
    <w:p>
      <w:pPr>
        <w:spacing w:after="160"/>
        <w:jc w:val="left"/>
      </w:pPr>
      <w:r>
        <w:rPr>
          <w:b/>
          <w:bCs/>
        </w:rPr>
        <w:t xml:space="preserve">What to actually do:</w:t>
      </w:r>
      <w:r>
        <w:t xml:space="preserve"> Pick a real company on this site's </w:t>
      </w:r>
      <w:hyperlink w:history="1" r:id="rId-o4pcwfh1pnbtimbhvsrg">
        <w:r>
          <w:rPr>
            <w:rStyle w:val="Hyperlink"/>
          </w:rPr>
          <w:t xml:space="preserve">Company Profile</w:t>
        </w:r>
      </w:hyperlink>
      <w:r>
        <w:t xml:space="preserve"> module — something you already understand as a customer (see the stock-pitch write-up for ideas) — and pull up its real 10-K numbers (the site already fetches these live from SEC EDGAR). Then, by hand, answer these questions using only the numbers in front of you:</w:t>
      </w:r>
    </w:p>
    <w:p>
      <w:pPr>
        <w:pStyle w:val="ListParagraph"/>
        <w:numPr>
          <w:ilvl w:val="0"/>
          <w:numId w:val="1"/>
        </w:numPr>
        <w:spacing w:after="80"/>
      </w:pPr>
      <w:r>
        <w:rPr>
          <w:b/>
          <w:bCs/>
        </w:rPr>
        <w:t xml:space="preserve">Income statement:</w:t>
      </w:r>
      <w:r>
        <w:t xml:space="preserve"> Revenue → minus cost of goods sold → gross profit → minus operating expenses → EBIT → minus interest and tax → net income. Where does the company make its money, and where does it lose margin as you go down the statement?</w:t>
      </w:r>
    </w:p>
    <w:p>
      <w:pPr>
        <w:pStyle w:val="ListParagraph"/>
        <w:numPr>
          <w:ilvl w:val="0"/>
          <w:numId w:val="1"/>
        </w:numPr>
        <w:spacing w:after="80"/>
      </w:pPr>
      <w:r>
        <w:rPr>
          <w:b/>
          <w:bCs/>
        </w:rPr>
        <w:t xml:space="preserve">Balance sheet:</w:t>
      </w:r>
      <w:r>
        <w:t xml:space="preserve"> Assets = Liabilities + Equity, always. What does the company *own* (cash, receivables, inventory, PP&amp;E) versus what does it *owe* (payables, debt)? How much of the company is funded by debt vs. equity?</w:t>
      </w:r>
    </w:p>
    <w:p>
      <w:pPr>
        <w:pStyle w:val="ListParagraph"/>
        <w:numPr>
          <w:ilvl w:val="0"/>
          <w:numId w:val="1"/>
        </w:numPr>
        <w:spacing w:after="80"/>
      </w:pPr>
      <w:r>
        <w:rPr>
          <w:b/>
          <w:bCs/>
        </w:rPr>
        <w:t xml:space="preserve">Cash flow statement:</w:t>
      </w:r>
      <w:r>
        <w:t xml:space="preserve"> Net income is an opinion (accounting judgment calls); cash is a fact. Operating cash flow, minus capex, gets you to free cash flow — the actual cash a business generates after keeping the lights on and reinvesting.</w:t>
      </w:r>
    </w:p>
    <w:p>
      <w:pPr>
        <w:spacing w:after="160"/>
        <w:jc w:val="left"/>
      </w:pPr>
      <w:r>
        <w:rPr>
          <w:b/>
          <w:bCs/>
        </w:rPr>
        <w:t xml:space="preserve">The five terms you need to be fluent in before Phase 1:</w:t>
      </w:r>
      <w:r>
        <w:t xml:space="preserve"> EBITDA, EBIT, free cash flow, net working capital, D&amp;A (depreciation &amp; amortization). If any of those five are fuzzy, stop and look them up before continuing — everything else is built on them.</w:t>
      </w:r>
    </w:p>
    <w:p>
      <w:pPr>
        <w:pBdr>
          <w:bottom w:val="single" w:color="999999" w:sz="6" w:space="4"/>
        </w:pBdr>
        <w:spacing w:after="200" w:before="200"/>
      </w:pPr>
    </w:p>
    <w:p>
      <w:pPr>
        <w:pStyle w:val="Heading2"/>
        <w:spacing w:after="120" w:before="300"/>
      </w:pPr>
      <w:r>
        <w:t xml:space="preserve">Phase 1 — Relative valuation (Trading Comps): learn this *first*, not DCF</w:t>
      </w:r>
    </w:p>
    <w:p>
      <w:pPr>
        <w:spacing w:after="160"/>
        <w:jc w:val="left"/>
      </w:pPr>
      <w:r>
        <w:t xml:space="preserve">Most guides start with DCF because it feels more "serious." I'm putting Comps first on purpose: it's how NBIM's analysts actually spend most of their day-to-day time — benchmarking one of ~8,000+ portfolio companies against its peers and the market, not building a fresh intrinsic-value model from scratch for every name in a globally diversified book. It's also conceptually the simplest model, so it's the right on-ramp.</w:t>
      </w:r>
    </w:p>
    <w:p>
      <w:pPr>
        <w:spacing w:after="160"/>
        <w:jc w:val="left"/>
      </w:pPr>
      <w:r>
        <w:rPr>
          <w:b/>
          <w:bCs/>
        </w:rPr>
        <w:t xml:space="preserve">What a comps analysis actually is:</w:t>
      </w:r>
      <w:r>
        <w:t xml:space="preserve"> you pick a company, pick 4–6 real peers (same industry, similar size/geography if possible), and compare how the market prices them relative to their own fundamentals — P/E (price ÷ earnings per share), EV/EBITDA (enterprise value ÷ EBITDA), EV/Sales, P/B (price ÷ book value). If your subject trades at 12x EV/EBITDA and its peers average 18x, either the market thinks something is structurally wrong with your subject, or it's mispriced — your job is to work out which.</w:t>
      </w:r>
    </w:p>
    <w:p>
      <w:pPr>
        <w:spacing w:after="160"/>
        <w:jc w:val="left"/>
      </w:pPr>
      <w:r>
        <w:rPr>
          <w:b/>
          <w:bCs/>
        </w:rPr>
        <w:t xml:space="preserve">Step by step, what you do with your hands:</w:t>
      </w:r>
    </w:p>
    <w:p>
      <w:pPr>
        <w:pStyle w:val="ListParagraph"/>
        <w:numPr>
          <w:ilvl w:val="0"/>
          <w:numId w:val="2"/>
        </w:numPr>
        <w:spacing w:after="80"/>
      </w:pPr>
      <w:r>
        <w:t xml:space="preserve">Define the peer set — same industry, comparable size and geography where possible. (Common mistake: comparing a fast-growing company to slow, mature peers just because they're in the same sector — growth and margin profile matter more than the label.)</w:t>
      </w:r>
    </w:p>
    <w:p>
      <w:pPr>
        <w:pStyle w:val="ListParagraph"/>
        <w:numPr>
          <w:ilvl w:val="0"/>
          <w:numId w:val="2"/>
        </w:numPr>
        <w:spacing w:after="80"/>
      </w:pPr>
      <w:r>
        <w:t xml:space="preserve">Pull each peer's market cap, net debt, shares out, revenue, EBITDA, net income, book equity.</w:t>
      </w:r>
    </w:p>
    <w:p>
      <w:pPr>
        <w:pStyle w:val="ListParagraph"/>
        <w:numPr>
          <w:ilvl w:val="0"/>
          <w:numId w:val="2"/>
        </w:numPr>
        <w:spacing w:after="80"/>
      </w:pPr>
      <w:r>
        <w:t xml:space="preserve">Compute Enterprise Value = Market Cap + Net Debt (+ minority interest, preferred — usually 0 for simplicity at your level).</w:t>
      </w:r>
    </w:p>
    <w:p>
      <w:pPr>
        <w:pStyle w:val="ListParagraph"/>
        <w:numPr>
          <w:ilvl w:val="0"/>
          <w:numId w:val="2"/>
        </w:numPr>
        <w:spacing w:after="80"/>
      </w:pPr>
      <w:r>
        <w:t xml:space="preserve">Compute the multiples: P/E, EV/EBITDA, EV/Sales, P/B.</w:t>
      </w:r>
    </w:p>
    <w:p>
      <w:pPr>
        <w:pStyle w:val="ListParagraph"/>
        <w:numPr>
          <w:ilvl w:val="0"/>
          <w:numId w:val="2"/>
        </w:numPr>
        <w:spacing w:after="80"/>
      </w:pPr>
      <w:r>
        <w:t xml:space="preserve">Take the peer median (not average — one outlier peer shouldn't swing your conclusion) and apply it back to your subject's own EBITDA/earnings to get an "implied value" — compare that to where the subject actually trades today.</w:t>
      </w:r>
    </w:p>
    <w:p>
      <w:pPr>
        <w:spacing w:after="160"/>
        <w:jc w:val="left"/>
      </w:pPr>
      <w:r>
        <w:rPr>
          <w:b/>
          <w:bCs/>
        </w:rPr>
        <w:t xml:space="preserve">Practice on this site:</w:t>
      </w:r>
      <w:r>
        <w:t xml:space="preserve"> the </w:t>
      </w:r>
      <w:hyperlink w:history="1" r:id="rIdjam2nl02k2pwzgrkwnzxu">
        <w:r>
          <w:rPr>
            <w:rStyle w:val="Hyperlink"/>
          </w:rPr>
          <w:t xml:space="preserve">Model Templates</w:t>
        </w:r>
      </w:hyperlink>
      <w:r>
        <w:t xml:space="preserve"> module has a real </w:t>
      </w:r>
      <w:r>
        <w:rPr>
          <w:b/>
          <w:bCs/>
        </w:rPr>
        <w:t xml:space="preserve">Trading Comps</w:t>
      </w:r>
      <w:r>
        <w:t xml:space="preserve"> template — pick a subject and up to six peers, it prefills every number live from real filings, and every multiple is a live Excel formula, so you can see exactly how changing one peer's price moves the median.</w:t>
      </w:r>
    </w:p>
    <w:p>
      <w:pPr>
        <w:pBdr>
          <w:bottom w:val="single" w:color="999999" w:sz="6" w:space="4"/>
        </w:pBdr>
        <w:spacing w:after="200" w:before="200"/>
      </w:pPr>
    </w:p>
    <w:p>
      <w:pPr>
        <w:pStyle w:val="Heading2"/>
        <w:spacing w:after="120" w:before="300"/>
      </w:pPr>
      <w:r>
        <w:t xml:space="preserve">Phase 2 — Cost of capital (CAPM and WACC): the hinge you need before DCF</w:t>
      </w:r>
    </w:p>
    <w:p>
      <w:pPr>
        <w:spacing w:after="160"/>
        <w:jc w:val="left"/>
      </w:pPr>
      <w:r>
        <w:t xml:space="preserve">You cannot build a DCF without this, so it comes before Phase 3, not inside it.</w:t>
      </w:r>
    </w:p>
    <w:p>
      <w:pPr>
        <w:pStyle w:val="ListParagraph"/>
        <w:numPr>
          <w:ilvl w:val="0"/>
          <w:numId w:val="1"/>
        </w:numPr>
        <w:spacing w:after="80"/>
      </w:pPr>
      <w:r>
        <w:rPr>
          <w:b/>
          <w:bCs/>
        </w:rPr>
        <w:t xml:space="preserve">CAPM (cost of equity)</w:t>
      </w:r>
      <w:r>
        <w:t xml:space="preserve"> = risk-free rate + beta × equity risk premium. In plain terms: what return does an equity investor demand for taking on this specific stock's risk, given how volatile it is relative to the market (that's what beta measures) and given the extra return equities demand over "risk-free" government bonds (the equity risk premium)?</w:t>
      </w:r>
    </w:p>
    <w:p>
      <w:pPr>
        <w:pStyle w:val="ListParagraph"/>
        <w:numPr>
          <w:ilvl w:val="0"/>
          <w:numId w:val="1"/>
        </w:numPr>
        <w:spacing w:after="80"/>
      </w:pPr>
      <w:r>
        <w:rPr>
          <w:b/>
          <w:bCs/>
        </w:rPr>
        <w:t xml:space="preserve">WACC (weighted average cost of capital)</w:t>
      </w:r>
      <w:r>
        <w:t xml:space="preserve"> = blend the cost of equity above with the after-tax cost of debt, weighted by how much of the company is actually funded by each. This is the discount rate — the annual return a company's cash flows need to clear just to justify the capital tied up in the business.</w:t>
      </w:r>
    </w:p>
    <w:p>
      <w:pPr>
        <w:spacing w:after="160"/>
        <w:jc w:val="left"/>
      </w:pPr>
      <w:r>
        <w:rPr>
          <w:b/>
          <w:bCs/>
        </w:rPr>
        <w:t xml:space="preserve">Why this matters distinctly for NBIM's lens, not just IB generally:</w:t>
      </w:r>
      <w:r>
        <w:t xml:space="preserve"> a diversified, permanent-capital owner cares less about "can this one stock 5x" and more about whether a company is *creating* or *destroying* economic value — i.e., are its actual returns on capital above or below its cost of capital? That's a WACC-driven question, and it's core to how an owner (not a trader) should think about a business over decades.</w:t>
      </w:r>
    </w:p>
    <w:p>
      <w:pPr>
        <w:spacing w:after="160"/>
        <w:jc w:val="left"/>
      </w:pPr>
      <w:r>
        <w:rPr>
          <w:b/>
          <w:bCs/>
        </w:rPr>
        <w:t xml:space="preserve">Practice on this site:</w:t>
      </w:r>
      <w:r>
        <w:t xml:space="preserve"> every DCF-based template already computes a WACC live from real inputs (beta regression against the market, real risk-free rate, a labeled equity-risk-premium convention) — open one and trace, line by line, where each number in the WACC formula came from.</w:t>
      </w:r>
    </w:p>
    <w:p>
      <w:pPr>
        <w:pBdr>
          <w:bottom w:val="single" w:color="999999" w:sz="6" w:space="4"/>
        </w:pBdr>
        <w:spacing w:after="200" w:before="200"/>
      </w:pPr>
    </w:p>
    <w:p>
      <w:pPr>
        <w:pStyle w:val="Heading2"/>
        <w:spacing w:after="120" w:before="300"/>
      </w:pPr>
      <w:r>
        <w:t xml:space="preserve">Phase 3 — DCF (Discounted Cash Flow): the core "what is this actually worth" skill</w:t>
      </w:r>
    </w:p>
    <w:p>
      <w:pPr>
        <w:spacing w:after="160"/>
        <w:jc w:val="left"/>
      </w:pPr>
      <w:r>
        <w:t xml:space="preserve">This is the single most important model for the seat you're aiming at. A DCF is your own independent view of intrinsic value — what matters most when the entire premise of a long-term owner is "we're going to hold this for decades, so whether we paid a fair price for the real cash flows matters far more than short-term price momentum."</w:t>
      </w:r>
    </w:p>
    <w:p>
      <w:pPr>
        <w:spacing w:after="160"/>
        <w:jc w:val="left"/>
      </w:pPr>
      <w:r>
        <w:rPr>
          <w:b/>
          <w:bCs/>
        </w:rPr>
        <w:t xml:space="preserve">Step by step, what you actually build:</w:t>
      </w:r>
    </w:p>
    <w:p>
      <w:pPr>
        <w:pStyle w:val="ListParagraph"/>
        <w:numPr>
          <w:ilvl w:val="0"/>
          <w:numId w:val="2"/>
        </w:numPr>
        <w:spacing w:after="80"/>
      </w:pPr>
      <w:r>
        <w:rPr>
          <w:b/>
          <w:bCs/>
        </w:rPr>
        <w:t xml:space="preserve">Forecast revenue and margins</w:t>
      </w:r>
      <w:r>
        <w:t xml:space="preserve"> for 5(ish) years — usually anchored to the company's own historical growth/margin trends, guidance, and your own view on the industry, tempered by realism (very few companies sustain outlier growth forever).</w:t>
      </w:r>
    </w:p>
    <w:p>
      <w:pPr>
        <w:pStyle w:val="ListParagraph"/>
        <w:numPr>
          <w:ilvl w:val="0"/>
          <w:numId w:val="2"/>
        </w:numPr>
        <w:spacing w:after="80"/>
      </w:pPr>
      <w:r>
        <w:rPr>
          <w:b/>
          <w:bCs/>
        </w:rPr>
        <w:t xml:space="preserve">Get to unlevered free cash flow</w:t>
      </w:r>
      <w:r>
        <w:t xml:space="preserve"> for each forecast year: EBIT × (1 − tax rate) + D&amp;A − Capex − increase in net working capital. This is the cash available to *all* capital providers (debt and equity), before financing decisions — that's why it's "unlevered."</w:t>
      </w:r>
    </w:p>
    <w:p>
      <w:pPr>
        <w:pStyle w:val="ListParagraph"/>
        <w:numPr>
          <w:ilvl w:val="0"/>
          <w:numId w:val="2"/>
        </w:numPr>
        <w:spacing w:after="80"/>
      </w:pPr>
      <w:r>
        <w:rPr>
          <w:b/>
          <w:bCs/>
        </w:rPr>
        <w:t xml:space="preserve">Terminal value</w:t>
      </w:r>
      <w:r>
        <w:t xml:space="preserve"> — the value of every year *beyond* your forecast window, since a business doesn't stop existing after year 5. Two standard methods: Gordon Growth (assume cash flow grows at a modest perpetual rate forever, discount that perpetuity back) or Exit Multiple (assume the business is sold at a typical trading multiple in year 5). Learn both — they should roughly agree; if they don't, that's a useful sanity check that something in your assumptions is off.</w:t>
      </w:r>
    </w:p>
    <w:p>
      <w:pPr>
        <w:pStyle w:val="ListParagraph"/>
        <w:numPr>
          <w:ilvl w:val="0"/>
          <w:numId w:val="2"/>
        </w:numPr>
        <w:spacing w:after="80"/>
      </w:pPr>
      <w:r>
        <w:rPr>
          <w:b/>
          <w:bCs/>
        </w:rPr>
        <w:t xml:space="preserve">Discount everything back to today at your WACC</w:t>
      </w:r>
      <w:r>
        <w:t xml:space="preserve"> from Phase 2 — both the explicit forecast years and the terminal value.</w:t>
      </w:r>
    </w:p>
    <w:p>
      <w:pPr>
        <w:pStyle w:val="ListParagraph"/>
        <w:numPr>
          <w:ilvl w:val="0"/>
          <w:numId w:val="2"/>
        </w:numPr>
        <w:spacing w:after="80"/>
      </w:pPr>
      <w:r>
        <w:rPr>
          <w:b/>
          <w:bCs/>
        </w:rPr>
        <w:t xml:space="preserve">Bridge Enterprise Value → Equity Value → per-share value</w:t>
      </w:r>
      <w:r>
        <w:t xml:space="preserve">: subtract net debt (and minority interest/preferred if relevant), divide by diluted shares outstanding.</w:t>
      </w:r>
    </w:p>
    <w:p>
      <w:pPr>
        <w:pStyle w:val="ListParagraph"/>
        <w:numPr>
          <w:ilvl w:val="0"/>
          <w:numId w:val="2"/>
        </w:numPr>
        <w:spacing w:after="80"/>
      </w:pPr>
      <w:r>
        <w:rPr>
          <w:b/>
          <w:bCs/>
        </w:rPr>
        <w:t xml:space="preserve">Compare to the current share price.</w:t>
      </w:r>
      <w:r>
        <w:t xml:space="preserve"> That gap is your view — upside, downside, or "the market's about right."</w:t>
      </w:r>
    </w:p>
    <w:p>
      <w:pPr>
        <w:spacing w:after="160"/>
        <w:jc w:val="left"/>
      </w:pPr>
      <w:r>
        <w:rPr>
          <w:b/>
          <w:bCs/>
        </w:rPr>
        <w:t xml:space="preserve">The one habit that separates a real analyst from someone who just filled in a spreadsheet:</w:t>
      </w:r>
      <w:r>
        <w:t xml:space="preserve"> never present a single number. Build a sensitivity table — WACC on one axis, terminal growth rate (or exit multiple) on the other — and show a *range*. A DCF is only as precise as its weakest assumption, and pretending otherwise is the fastest way to look naive in a real interview or a real investment committee.</w:t>
      </w:r>
    </w:p>
    <w:p>
      <w:pPr>
        <w:spacing w:after="160"/>
        <w:jc w:val="left"/>
      </w:pPr>
      <w:r>
        <w:rPr>
          <w:b/>
          <w:bCs/>
        </w:rPr>
        <w:t xml:space="preserve">Practice on this site:</w:t>
      </w:r>
      <w:r>
        <w:t xml:space="preserve"> the </w:t>
      </w:r>
      <w:hyperlink w:history="1" r:id="rId1j-tkp20ox4unkr-vmxol">
        <w:r>
          <w:rPr>
            <w:rStyle w:val="Hyperlink"/>
          </w:rPr>
          <w:t xml:space="preserve">Model Templates</w:t>
        </w:r>
      </w:hyperlink>
      <w:r>
        <w:t xml:space="preserve"> DCF template (plus its dividend-discount variant for banks, where a normal DCF doesn't work because banks' "capex" and "working capital" don't mean the same thing) — every cell is a live formula, so change one growth assumption and watch the whole valuation move.</w:t>
      </w:r>
    </w:p>
    <w:p>
      <w:pPr>
        <w:pBdr>
          <w:bottom w:val="single" w:color="999999" w:sz="6" w:space="4"/>
        </w:pBdr>
        <w:spacing w:after="200" w:before="200"/>
      </w:pPr>
    </w:p>
    <w:p>
      <w:pPr>
        <w:pStyle w:val="Heading2"/>
        <w:spacing w:after="120" w:before="300"/>
      </w:pPr>
      <w:r>
        <w:t xml:space="preserve">Phase 4 — M&amp;A / accretion-dilution: useful even though NBIM doesn't do M&amp;A itself</w:t>
      </w:r>
    </w:p>
    <w:p>
      <w:pPr>
        <w:spacing w:after="160"/>
        <w:jc w:val="left"/>
      </w:pPr>
      <w:r>
        <w:t xml:space="preserve">This might seem like a strange one to include for a long-only equity owner, but it's directly useful to NBIM's *active ownership* mandate: when a portfolio company you own announces an acquisition, you (as a shareholder, via engagement or a vote) need to judge whether that deal creates or destroys value for you. Understanding the mechanics is what lets you form that view instead of just trusting management's press release.</w:t>
      </w:r>
    </w:p>
    <w:p>
      <w:pPr>
        <w:spacing w:after="160"/>
        <w:jc w:val="left"/>
      </w:pPr>
      <w:r>
        <w:rPr>
          <w:b/>
          <w:bCs/>
        </w:rPr>
        <w:t xml:space="preserve">Step by step:</w:t>
      </w:r>
    </w:p>
    <w:p>
      <w:pPr>
        <w:pStyle w:val="ListParagraph"/>
        <w:numPr>
          <w:ilvl w:val="0"/>
          <w:numId w:val="2"/>
        </w:numPr>
        <w:spacing w:after="80"/>
      </w:pPr>
      <w:r>
        <w:t xml:space="preserve">Combine acquirer + target financials.</w:t>
      </w:r>
    </w:p>
    <w:p>
      <w:pPr>
        <w:pStyle w:val="ListParagraph"/>
        <w:numPr>
          <w:ilvl w:val="0"/>
          <w:numId w:val="2"/>
        </w:numPr>
        <w:spacing w:after="80"/>
      </w:pPr>
      <w:r>
        <w:t xml:space="preserve">Work out how the deal is financed (cash, stock, new debt, or a mix) — this drives everything downstream.</w:t>
      </w:r>
    </w:p>
    <w:p>
      <w:pPr>
        <w:pStyle w:val="ListParagraph"/>
        <w:numPr>
          <w:ilvl w:val="0"/>
          <w:numId w:val="2"/>
        </w:numPr>
        <w:spacing w:after="80"/>
      </w:pPr>
      <w:r>
        <w:t xml:space="preserve">Purchase price allocation basics: the excess of what's paid over the target's net identifiable assets becomes goodwill on the combined balance sheet.</w:t>
      </w:r>
    </w:p>
    <w:p>
      <w:pPr>
        <w:pStyle w:val="ListParagraph"/>
        <w:numPr>
          <w:ilvl w:val="0"/>
          <w:numId w:val="2"/>
        </w:numPr>
        <w:spacing w:after="80"/>
      </w:pPr>
      <w:r>
        <w:t xml:space="preserve">Compute pro forma EPS (combined net income ÷ combined shares) and compare it to the acquirer's standalone EPS — if pro forma EPS is higher, the deal is "accretive"; if lower, "dilutive." (Important nuance: accretive doesn't automatically mean "good deal," and dilutive doesn't automatically mean "bad deal" — a strategically sound deal can be dilutive for a year or two before it pays off. This is exactly the kind of financial-engineering-vs-real-value distinction the Hype vs Fundamentals part of this site is built to train you to spot.)</w:t>
      </w:r>
    </w:p>
    <w:p>
      <w:pPr>
        <w:spacing w:after="160"/>
        <w:jc w:val="left"/>
      </w:pPr>
      <w:r>
        <w:rPr>
          <w:b/>
          <w:bCs/>
        </w:rPr>
        <w:t xml:space="preserve">Practice on this site:</w:t>
      </w:r>
      <w:r>
        <w:t xml:space="preserve"> the M&amp;A Accretion/Dilution template in </w:t>
      </w:r>
      <w:hyperlink w:history="1" r:id="rIdcgbbpiglrv9nthvtucuw9">
        <w:r>
          <w:rPr>
            <w:rStyle w:val="Hyperlink"/>
          </w:rPr>
          <w:t xml:space="preserve">Model Templates</w:t>
        </w:r>
      </w:hyperlink>
      <w:r>
        <w:t xml:space="preserve">.</w:t>
      </w:r>
    </w:p>
    <w:p>
      <w:pPr>
        <w:pBdr>
          <w:bottom w:val="single" w:color="999999" w:sz="6" w:space="4"/>
        </w:pBdr>
        <w:spacing w:after="200" w:before="200"/>
      </w:pPr>
    </w:p>
    <w:p>
      <w:pPr>
        <w:pStyle w:val="Heading2"/>
        <w:spacing w:after="120" w:before="300"/>
      </w:pPr>
      <w:r>
        <w:t xml:space="preserve">Phase 5 — LBO: lowest priority for NBIM specifically, but keep it in your toolkit</w:t>
      </w:r>
    </w:p>
    <w:p>
      <w:pPr>
        <w:spacing w:after="160"/>
        <w:jc w:val="left"/>
      </w:pPr>
      <w:r>
        <w:t xml:space="preserve">Private equity's return driver is fundamentally different from NBIM's: leverage + operational improvement + multiple expansion over a fixed hold period (usually 3–7 years), versus NBIM's permanent, unlevered-at-the-fund-level, benchmark-relative approach. You don't need to be an LBO expert for the seat you want — but you should be conversant, both because it keeps doors open (you said you want to stay open to S&amp;T/M&amp;A too) and because understanding how a PE buyer would underwrite a company you own is itself useful context for judging whether *your* company is a plausible take-private or take-over target.</w:t>
      </w:r>
    </w:p>
    <w:p>
      <w:pPr>
        <w:spacing w:after="160"/>
        <w:jc w:val="left"/>
      </w:pPr>
      <w:r>
        <w:rPr>
          <w:b/>
          <w:bCs/>
        </w:rPr>
        <w:t xml:space="preserve">Step by step (lighter detail, since it's lower priority for you specifically):</w:t>
      </w:r>
      <w:r>
        <w:t xml:space="preserve"> Sources &amp; Uses (how much debt vs. equity funds the purchase) → build a debt paydown schedule off the company's free cash flow → project an exit in year 3–7 at a plausible multiple → back out the IRR and MOIC (multiple on invested capital) the equity sponsor earns.</w:t>
      </w:r>
    </w:p>
    <w:p>
      <w:pPr>
        <w:spacing w:after="160"/>
        <w:jc w:val="left"/>
      </w:pPr>
      <w:r>
        <w:rPr>
          <w:b/>
          <w:bCs/>
        </w:rPr>
        <w:t xml:space="preserve">Practice on this site:</w:t>
      </w:r>
      <w:r>
        <w:t xml:space="preserve"> the LBO Model template in </w:t>
      </w:r>
      <w:hyperlink w:history="1" r:id="rId8ebbqzv8mmficp4ogtqoe">
        <w:r>
          <w:rPr>
            <w:rStyle w:val="Hyperlink"/>
          </w:rPr>
          <w:t xml:space="preserve">Model Templates</w:t>
        </w:r>
      </w:hyperlink>
      <w:r>
        <w:t xml:space="preserve">.</w:t>
      </w:r>
    </w:p>
    <w:p>
      <w:pPr>
        <w:pBdr>
          <w:bottom w:val="single" w:color="999999" w:sz="6" w:space="4"/>
        </w:pBdr>
        <w:spacing w:after="200" w:before="200"/>
      </w:pPr>
    </w:p>
    <w:p>
      <w:pPr>
        <w:pStyle w:val="Heading2"/>
        <w:spacing w:after="120" w:before="300"/>
      </w:pPr>
      <w:r>
        <w:t xml:space="preserve">Phase 6 — The layer that's actually NBIM-specific: active-ownership-integrated analysis</w:t>
      </w:r>
    </w:p>
    <w:p>
      <w:pPr>
        <w:spacing w:after="160"/>
        <w:jc w:val="left"/>
      </w:pPr>
      <w:r>
        <w:t xml:space="preserve">This is the part a normal finance curriculum skips entirely, and it's the part worth doing deliberately if NBIM is the real target.</w:t>
      </w:r>
    </w:p>
    <w:p>
      <w:pPr>
        <w:spacing w:after="160"/>
        <w:jc w:val="left"/>
      </w:pPr>
      <w:r>
        <w:rPr>
          <w:b/>
          <w:bCs/>
        </w:rPr>
        <w:t xml:space="preserve">What to actually do:</w:t>
      </w:r>
      <w:r>
        <w:t xml:space="preserve"> for any company you've built a DCF on above, go read NBIM's real public </w:t>
      </w:r>
      <w:hyperlink w:history="1" r:id="rIdlh4ec_tlhxgyfh2_f98ob">
        <w:r>
          <w:rPr>
            <w:rStyle w:val="Hyperlink"/>
          </w:rPr>
          <w:t xml:space="preserve">expectation documents</w:t>
        </w:r>
      </w:hyperlink>
      <w:r>
        <w:t xml:space="preserve"> on climate, human rights, and tax — then write one page, next to your valuation, answering: *what governance, climate-transition, or tax-structure risk exists here that my discounted-cash-flow model, built on a straight-line growth and margin forecast, has no way of capturing?* That habit — pairing a quantitative model with a qualitative risk-to-the-model view — is the actual differentiator of how NBIM describes its own approach, not something you'll find in a standard DCF tutorial.</w:t>
      </w:r>
    </w:p>
    <w:p>
      <w:pPr>
        <w:pBdr>
          <w:bottom w:val="single" w:color="999999" w:sz="6" w:space="4"/>
        </w:pBdr>
        <w:spacing w:after="200" w:before="200"/>
      </w:pPr>
    </w:p>
    <w:p>
      <w:pPr>
        <w:pStyle w:val="Heading2"/>
        <w:spacing w:after="120" w:before="300"/>
      </w:pPr>
      <w:r>
        <w:t xml:space="preserve">Suggested pacing</w:t>
      </w:r>
    </w:p>
    <w:p>
      <w:pPr>
        <w:spacing w:after="160"/>
        <w:jc w:val="left"/>
      </w:pPr>
      <w:r>
        <w:t xml:space="preserve">If you want a rough timeline rather than doing everything at once:</w:t>
      </w:r>
    </w:p>
    <w:p>
      <w:pPr>
        <w:pStyle w:val="ListParagraph"/>
        <w:numPr>
          <w:ilvl w:val="0"/>
          <w:numId w:val="1"/>
        </w:numPr>
        <w:spacing w:after="80"/>
      </w:pPr>
      <w:r>
        <w:rPr>
          <w:b/>
          <w:bCs/>
        </w:rPr>
        <w:t xml:space="preserve">Week 1–2:</w:t>
      </w:r>
      <w:r>
        <w:t xml:space="preserve"> Phase 0 + Phase 1 (statements + comps) — pick 3 real companies and do a full comps table by hand for each.</w:t>
      </w:r>
    </w:p>
    <w:p>
      <w:pPr>
        <w:pStyle w:val="ListParagraph"/>
        <w:numPr>
          <w:ilvl w:val="0"/>
          <w:numId w:val="1"/>
        </w:numPr>
        <w:spacing w:after="80"/>
      </w:pPr>
      <w:r>
        <w:rPr>
          <w:b/>
          <w:bCs/>
        </w:rPr>
        <w:t xml:space="preserve">Week 3–4:</w:t>
      </w:r>
      <w:r>
        <w:t xml:space="preserve"> Phase 2 + Phase 3 (WACC + DCF) — build one full DCF from scratch on paper/Excel before touching the site's template, then use the template to check your own numbers against a live, pre-built version.</w:t>
      </w:r>
    </w:p>
    <w:p>
      <w:pPr>
        <w:pStyle w:val="ListParagraph"/>
        <w:numPr>
          <w:ilvl w:val="0"/>
          <w:numId w:val="1"/>
        </w:numPr>
        <w:spacing w:after="80"/>
      </w:pPr>
      <w:r>
        <w:rPr>
          <w:b/>
          <w:bCs/>
        </w:rPr>
        <w:t xml:space="preserve">Week 5:</w:t>
      </w:r>
      <w:r>
        <w:t xml:space="preserve"> Phase 4 (M&amp;A) — lighter, mostly about mechanics and judgment, not new math.</w:t>
      </w:r>
    </w:p>
    <w:p>
      <w:pPr>
        <w:pStyle w:val="ListParagraph"/>
        <w:numPr>
          <w:ilvl w:val="0"/>
          <w:numId w:val="1"/>
        </w:numPr>
        <w:spacing w:after="80"/>
      </w:pPr>
      <w:r>
        <w:rPr>
          <w:b/>
          <w:bCs/>
        </w:rPr>
        <w:t xml:space="preserve">Week 6:</w:t>
      </w:r>
      <w:r>
        <w:t xml:space="preserve"> Phase 5 (LBO) — enough to be conversant, not necessarily deep mastery.</w:t>
      </w:r>
    </w:p>
    <w:p>
      <w:pPr>
        <w:pStyle w:val="ListParagraph"/>
        <w:numPr>
          <w:ilvl w:val="0"/>
          <w:numId w:val="1"/>
        </w:numPr>
        <w:spacing w:after="80"/>
      </w:pPr>
      <w:r>
        <w:rPr>
          <w:b/>
          <w:bCs/>
        </w:rPr>
        <w:t xml:space="preserve">Ongoing, in parallel the whole time:</w:t>
      </w:r>
      <w:r>
        <w:t xml:space="preserve"> Phase 6 — read one NBIM expectation document a week and practice writing the one-page "risk to the model" note alongside whatever company you're valuing that week.</w:t>
      </w:r>
    </w:p>
    <w:p>
      <w:r>
        <w:br w:type="page"/>
      </w:r>
    </w:p>
    <w:p>
      <w:pPr>
        <w:pStyle w:val="Heading1"/>
        <w:spacing w:after="80" w:before="100"/>
      </w:pPr>
      <w:r>
        <w:t xml:space="preserve">10 Stock Pitches</w:t>
      </w:r>
    </w:p>
    <w:p>
      <w:pPr>
        <w:spacing w:after="40"/>
      </w:pPr>
      <w:r>
        <w:rPr>
          <w:i/>
          <w:iCs/>
          <w:color w:val="555555"/>
        </w:rPr>
        <w:t xml:space="preserve">Diploma PLC, a Pokemon pick, two controversial names, and the AI/geopolitics trades running right now</w:t>
      </w:r>
    </w:p>
    <w:p>
      <w:pPr>
        <w:spacing w:after="240"/>
      </w:pPr>
      <w:r>
        <w:rPr>
          <w:color w:val="888888"/>
          <w:sz w:val="18"/>
          <w:szCs w:val="18"/>
        </w:rPr>
        <w:t xml:space="preserve">Written 2026-07-22</w:t>
      </w:r>
    </w:p>
    <w:p>
      <w:pPr>
        <w:pStyle w:val="Heading1"/>
        <w:spacing w:after="160" w:before="300"/>
      </w:pPr>
      <w:r>
        <w:t xml:space="preserve">10 stock pitches — researched July 2026</w:t>
      </w:r>
    </w:p>
    <w:p>
      <w:pPr>
        <w:spacing w:after="160"/>
        <w:jc w:val="left"/>
      </w:pPr>
      <w:r>
        <w:t xml:space="preserve">Spans quality compounders, mega-cap AI exposure, a Pokemon/gaming name, two ESG-sensitive/controversial names, three geopolitically-driven names, one everyday UK consumer name, and one uranium/nuclear equity riding the AI power-demand theme. Mostly equities, one commodity-adjacent miner, as asked.</w:t>
      </w:r>
    </w:p>
    <w:p>
      <w:pPr>
        <w:pBdr>
          <w:bottom w:val="single" w:color="999999" w:sz="6" w:space="4"/>
        </w:pBdr>
        <w:spacing w:after="200" w:before="200"/>
      </w:pPr>
    </w:p>
    <w:p>
      <w:pPr>
        <w:pStyle w:val="Heading2"/>
        <w:spacing w:after="120" w:before="300"/>
      </w:pPr>
      <w:r>
        <w:t xml:space="preserve">1. Diploma PLC (LSE: DPLM) — the mandatory one, and the UK "quality compounder" case study</w:t>
      </w:r>
    </w:p>
    <w:p>
      <w:pPr>
        <w:spacing w:after="160"/>
        <w:jc w:val="left"/>
      </w:pPr>
      <w:r>
        <w:rPr>
          <w:b/>
          <w:bCs/>
        </w:rPr>
        <w:t xml:space="preserve">What it is:</w:t>
      </w:r>
      <w:r>
        <w:t xml:space="preserve"> A UK-listed distributor of unglamorous, mission-critical technical products — specialty seals, industrial controls, life-sciences consumables — through three divisions (Seals, Controls, Life Sciences), grown mostly by serial bolt-on acquisition of small, founder-owned distributors.</w:t>
      </w:r>
    </w:p>
    <w:p>
      <w:pPr>
        <w:spacing w:after="160"/>
        <w:jc w:val="left"/>
      </w:pPr>
      <w:r>
        <w:rPr>
          <w:b/>
          <w:bCs/>
        </w:rPr>
        <w:t xml:space="preserve">The pitch:</w:t>
      </w:r>
      <w:r>
        <w:t xml:space="preserve"> Diploma is the textbook UK "compounder" — a business that doesn't sound exciting (nobody dreams of owning a seals distributor) but has quietly compounded shareholder returns for two decades by buying small distributors at reasonable multiples, keeping their entrepreneurial management in place, and cross-selling/scaling procurement behind the scenes. As of 22 July 2026 the stock trades around 7,525p, inside a 52-week range of 4,558p–7,295p (so it's actually pushed to a new high very recently). Q1 FY2026 EPS was up 36% year-on-year, revenue up 17% (15% organic — well above its own five-year average), and operating margin expanded 300bps to 24.5%. Full-year guidance was upgraded to over 30% operating profit growth. It's also been active on the acquisition trail in 2026: a £236m deal for Peerless Aerospace Fastener (a US aerospace-fastener distributor, expected to add ~8% to group EPS in year one), a £38m bolt-on for UK seals/gaskets specialist PAR Group, and a CDM acquisition specifically to build out US defense-market exposure — quietly picking up some of the same European-rearmament tailwind as BAE Systems (#5 below), just through the industrial-distribution side rather than the prime contractor.</w:t>
      </w:r>
    </w:p>
    <w:p>
      <w:pPr>
        <w:spacing w:after="160"/>
        <w:jc w:val="left"/>
      </w:pPr>
      <w:r>
        <w:rPr>
          <w:b/>
          <w:bCs/>
        </w:rPr>
        <w:t xml:space="preserve">Macro angle:</w:t>
      </w:r>
      <w:r>
        <w:t xml:space="preserve"> Diploma is a pure-play bet on "boring but necessary" industrial replacement demand — seals and controls don't get cut from budgets in a downturn the way discretionary capex does, which is part of why it's held up through multiple rate cycles. Its US exposure (a majority of revenue) also makes it a levered play on US industrial/reshoring capex and, now, US defense-adjacent spending specifically.</w:t>
      </w:r>
    </w:p>
    <w:p>
      <w:pPr>
        <w:spacing w:after="160"/>
        <w:jc w:val="left"/>
      </w:pPr>
      <w:r>
        <w:rPr>
          <w:b/>
          <w:bCs/>
        </w:rPr>
        <w:t xml:space="preserve">Personal-connection angle:</w:t>
      </w:r>
      <w:r>
        <w:t xml:space="preserve"> You've almost certainly never bought anything from Diploma directly — that's the point. But if you've been anywhere near a UK investing society, a "quality compounder" podcast, or a UK equities course at UCL, Diploma is one of the most-cited FTSE 250/100 case studies for "how do you compound at 15-20%+ for two decades without doing anything sexy" — it's the kind of name that comes up constantly in exactly the circles you're already in.</w:t>
      </w:r>
    </w:p>
    <w:p>
      <w:pPr>
        <w:spacing w:after="160"/>
        <w:jc w:val="left"/>
      </w:pPr>
      <w:r>
        <w:rPr>
          <w:b/>
          <w:bCs/>
        </w:rPr>
        <w:t xml:space="preserve">Key risk:</w:t>
      </w:r>
      <w:r>
        <w:t xml:space="preserve"> The entire model depends on continuing to find and integrate acquisitions at sensible prices — it's a "roll-up," and roll-ups can go wrong if they overpay, integrate badly, or run out of good targets. Its valuation (well above the market multiple) already prices in a lot of continued execution.</w:t>
      </w:r>
    </w:p>
    <w:p>
      <w:pPr>
        <w:spacing w:after="160"/>
        <w:jc w:val="left"/>
      </w:pPr>
      <w:r>
        <w:rPr>
          <w:b/>
          <w:bCs/>
        </w:rPr>
        <w:t xml:space="preserve">Sources:</w:t>
      </w:r>
      <w:r>
        <w:t xml:space="preserve"> </w:t>
      </w:r>
      <w:hyperlink w:history="1" r:id="rIdgclf4joz01dgokyyyhovm">
        <w:r>
          <w:rPr>
            <w:rStyle w:val="Hyperlink"/>
          </w:rPr>
          <w:t xml:space="preserve">Diploma Q1/H1 2026 results and acquisitions</w:t>
        </w:r>
      </w:hyperlink>
      <w:r>
        <w:t xml:space="preserve">, </w:t>
      </w:r>
      <w:hyperlink w:history="1" r:id="rIdey_anpcwcgi2yxd-pmi2t">
        <w:r>
          <w:rPr>
            <w:rStyle w:val="Hyperlink"/>
          </w:rPr>
          <w:t xml:space="preserve">Diploma share price</w:t>
        </w:r>
      </w:hyperlink>
      <w:r>
        <w:t xml:space="preserve">, </w:t>
      </w:r>
      <w:hyperlink w:history="1" r:id="rIdvcvxvrmffbb-x4qkigxot">
        <w:r>
          <w:rPr>
            <w:rStyle w:val="Hyperlink"/>
          </w:rPr>
          <w:t xml:space="preserve">Peerless Aerospace Fastener acquisition</w:t>
        </w:r>
      </w:hyperlink>
    </w:p>
    <w:p>
      <w:pPr>
        <w:pBdr>
          <w:bottom w:val="single" w:color="999999" w:sz="6" w:space="4"/>
        </w:pBdr>
        <w:spacing w:after="200" w:before="200"/>
      </w:pPr>
    </w:p>
    <w:p>
      <w:pPr>
        <w:pStyle w:val="Heading2"/>
        <w:spacing w:after="120" w:before="300"/>
      </w:pPr>
      <w:r>
        <w:t xml:space="preserve">2. Nintendo (TYO: 7974) — the Pokemon pick, and a genuine "hype vs. fundamentals" gap</w:t>
      </w:r>
    </w:p>
    <w:p>
      <w:pPr>
        <w:spacing w:after="160"/>
        <w:jc w:val="left"/>
      </w:pPr>
      <w:r>
        <w:rPr>
          <w:b/>
          <w:bCs/>
        </w:rPr>
        <w:t xml:space="preserve">What it is:</w:t>
      </w:r>
      <w:r>
        <w:t xml:space="preserve"> The Japanese gaming giant, owner of Switch/Switch 2 hardware, and one of three joint-venture partners (with Game Freak and Creatures Inc., each holding roughly a one-third stake) in The Pokemon Company, which manages the games, anime, and trading card game globally.</w:t>
      </w:r>
    </w:p>
    <w:p>
      <w:pPr>
        <w:spacing w:after="160"/>
        <w:jc w:val="left"/>
      </w:pPr>
      <w:r>
        <w:rPr>
          <w:b/>
          <w:bCs/>
        </w:rPr>
        <w:t xml:space="preserve">The pitch — and this one is genuinely interesting because the *fundamentals* and the *stock price* are currently telling opposite stories.</w:t>
      </w:r>
      <w:r>
        <w:t xml:space="preserve"> Nintendo's FY26 (year to March 2026) net sales nearly doubled, up 98.6% year-on-year to ¥2.313 trillion, driven by Switch 2 (19.86 million units sold in its first 10 months — the fastest-selling console in Nintendo's history) and Pokemon-branded software like Pokemon Pokopia (over 4 million copies in five weeks). The Pokemon Company itself reported $3.33bn revenue and $752m net profit for the year to February 2026. By any normal reading, that's one of the best years the Pokemon franchise has ever had.</w:t>
      </w:r>
    </w:p>
    <w:p>
      <w:pPr>
        <w:spacing w:after="160"/>
        <w:jc w:val="left"/>
      </w:pPr>
      <w:r>
        <w:t xml:space="preserve">And yet the stock is down roughly 53% from its 52-week high (¥14,795) to where it trades today (¥6,969) — near the bottom of its 52-week range. Why? Two real, dated catalysts: a memory-chip price surge (driven by — yes — the AI infrastructure buildout competing for the same DRAM/NAND supply) pushed up Switch 2's bill of materials, forcing a price hike that spooked investors about future unit sales (shares fell ~7-8% on 11 May 2026 on this news), and a June 2026 Nintendo Direct showcase disappointed by leaning on a Zelda remake and ports rather than a new mainline 3D Mario or other blockbuster, sending shares down over 10% in a single day.</w:t>
      </w:r>
    </w:p>
    <w:p>
      <w:pPr>
        <w:spacing w:after="160"/>
        <w:jc w:val="left"/>
      </w:pPr>
      <w:r>
        <w:rPr>
          <w:b/>
          <w:bCs/>
        </w:rPr>
        <w:t xml:space="preserve">This is the exact "hype vs. fundamentals" tension the site's own module is built to explore, just running in the opposite direction from most of the cases there</w:t>
      </w:r>
      <w:r>
        <w:t xml:space="preserve"> — not a story priced far *above* the numbers, but arguably a real operating story (record hardware cycle, record Pokemon year) currently priced *below* what the numbers alone would suggest, because of a genuinely unrelated cost shock (AI-driven memory prices) and a software-pipeline scare.</w:t>
      </w:r>
    </w:p>
    <w:p>
      <w:pPr>
        <w:spacing w:after="160"/>
        <w:jc w:val="left"/>
      </w:pPr>
      <w:r>
        <w:rPr>
          <w:b/>
          <w:bCs/>
        </w:rPr>
        <w:t xml:space="preserve">Macro/geopolitical angle:</w:t>
      </w:r>
      <w:r>
        <w:t xml:space="preserve"> Nintendo hardware margins are now directly exposed to the same AI-driven memory-chip supercycle that's inflating data-center capex everywhere else on this list — a rare case of the "AI trade" reaching all the way into a Japanese toy company's bill of materials.</w:t>
      </w:r>
    </w:p>
    <w:p>
      <w:pPr>
        <w:spacing w:after="160"/>
        <w:jc w:val="left"/>
      </w:pPr>
      <w:r>
        <w:rPr>
          <w:b/>
          <w:bCs/>
        </w:rPr>
        <w:t xml:space="preserve">Personal-connection angle:</w:t>
      </w:r>
      <w:r>
        <w:t xml:space="preserve"> This is the direct one — if you've ever played a Pokemon game, owned any Nintendo console, or opened a booster pack, you're a direct consumer of both halves of this stock's business.</w:t>
      </w:r>
    </w:p>
    <w:p>
      <w:pPr>
        <w:spacing w:after="160"/>
        <w:jc w:val="left"/>
      </w:pPr>
      <w:r>
        <w:rPr>
          <w:b/>
          <w:bCs/>
        </w:rPr>
        <w:t xml:space="preserve">Key risk:</w:t>
      </w:r>
      <w:r>
        <w:t xml:space="preserve"> Console cycles are lumpy and hit-driven — Nintendo's whole model depends on hardware attach rates and a strong first-party software pipeline, and the market just showed you exactly how fast sentiment swings when that pipeline looks thin, even against genuinely strong current numbers.</w:t>
      </w:r>
    </w:p>
    <w:p>
      <w:pPr>
        <w:spacing w:after="160"/>
        <w:jc w:val="left"/>
      </w:pPr>
      <w:r>
        <w:rPr>
          <w:b/>
          <w:bCs/>
        </w:rPr>
        <w:t xml:space="preserve">Sources:</w:t>
      </w:r>
      <w:r>
        <w:t xml:space="preserve"> </w:t>
      </w:r>
      <w:hyperlink w:history="1" r:id="rId-37r0vnodkbolvql3o4cz">
        <w:r>
          <w:rPr>
            <w:rStyle w:val="Hyperlink"/>
          </w:rPr>
          <w:t xml:space="preserve">Nintendo FY26 financial results</w:t>
        </w:r>
      </w:hyperlink>
      <w:r>
        <w:t xml:space="preserve">, </w:t>
      </w:r>
      <w:hyperlink w:history="1" r:id="rIdamg4dzz95ecuqeb28n7ks">
        <w:r>
          <w:rPr>
            <w:rStyle w:val="Hyperlink"/>
          </w:rPr>
          <w:t xml:space="preserve">Pokemon's best year ever</w:t>
        </w:r>
      </w:hyperlink>
      <w:r>
        <w:t xml:space="preserve">, </w:t>
      </w:r>
      <w:hyperlink w:history="1" r:id="rIdupmpwvaznhro512u7tqy7">
        <w:r>
          <w:rPr>
            <w:rStyle w:val="Hyperlink"/>
          </w:rPr>
          <w:t xml:space="preserve">Nintendo share price decline on price hike</w:t>
        </w:r>
      </w:hyperlink>
      <w:r>
        <w:t xml:space="preserve">, </w:t>
      </w:r>
      <w:hyperlink w:history="1" r:id="rIdauzfy1dnitsmyf3o8f2hr">
        <w:r>
          <w:rPr>
            <w:rStyle w:val="Hyperlink"/>
          </w:rPr>
          <w:t xml:space="preserve">June 2026 Direct disappointment</w:t>
        </w:r>
      </w:hyperlink>
      <w:r>
        <w:t xml:space="preserve">, </w:t>
      </w:r>
      <w:hyperlink w:history="1" r:id="rIdla9zimhcirj7wuwhjvdlq">
        <w:r>
          <w:rPr>
            <w:rStyle w:val="Hyperlink"/>
          </w:rPr>
          <w:t xml:space="preserve">Pokemon Company ownership structure</w:t>
        </w:r>
      </w:hyperlink>
    </w:p>
    <w:p>
      <w:pPr>
        <w:pBdr>
          <w:bottom w:val="single" w:color="999999" w:sz="6" w:space="4"/>
        </w:pBdr>
        <w:spacing w:after="200" w:before="200"/>
      </w:pPr>
    </w:p>
    <w:p>
      <w:pPr>
        <w:pStyle w:val="Heading2"/>
        <w:spacing w:after="120" w:before="300"/>
      </w:pPr>
      <w:r>
        <w:t xml:space="preserve">3. Microsoft (NASDAQ: MSFT) — the "common" pick, and the center of the AI-capex debate</w:t>
      </w:r>
    </w:p>
    <w:p>
      <w:pPr>
        <w:spacing w:after="160"/>
        <w:jc w:val="left"/>
      </w:pPr>
      <w:r>
        <w:rPr>
          <w:b/>
          <w:bCs/>
        </w:rPr>
        <w:t xml:space="preserve">What it is:</w:t>
      </w:r>
      <w:r>
        <w:t xml:space="preserve"> The software giant you already use every day for UCL coursework — Windows, Office/Teams — now also the largest single financial backer of OpenAI and the company spending more on AI infrastructure than almost anyone on earth.</w:t>
      </w:r>
    </w:p>
    <w:p>
      <w:pPr>
        <w:spacing w:after="160"/>
        <w:jc w:val="left"/>
      </w:pPr>
      <w:r>
        <w:rPr>
          <w:b/>
          <w:bCs/>
        </w:rPr>
        <w:t xml:space="preserve">The pitch:</w:t>
      </w:r>
      <w:r>
        <w:t xml:space="preserve"> Microsoft owns roughly a 27% as-converted stake in OpenAI Group PBC, valued at about $135bn after the 2025-2026 recapitalization, and booked a $7.6bn accounting gain from that stake in Q2 FY2026 alone. Its AI annual revenue run-rate has passed $37bn, up 123% year-on-year. But the number everyone is actually arguing about is capex: Microsoft guided to roughly $190bn of capital expenditure for calendar 2026 (up ~61% on 2025), while Microsoft 365 Copilot's paid seats — the actual monetization engine meant to justify that spend — sit at just over 20 million, generating an estimated $3-5bn a year. That gap between $190bn spent and single-digit-billions earned back so far is the single cleanest number in this whole list of pitches for framing the AI-bubble question directly.</w:t>
      </w:r>
    </w:p>
    <w:p>
      <w:pPr>
        <w:spacing w:after="160"/>
        <w:jc w:val="left"/>
      </w:pPr>
      <w:r>
        <w:rPr>
          <w:b/>
          <w:bCs/>
        </w:rPr>
        <w:t xml:space="preserve">Macro/geopolitical angle:</w:t>
      </w:r>
      <w:r>
        <w:t xml:space="preserve"> Microsoft is as close to a pure read on "is the AI capex cycle justified" as a mega-cap gets — it sits at the intersection of the compute buildout (data centers, chips), the platform bet (OpenAI), and the actual paying-customer monetization (Copilot), so its own numbers are a live scoreboard for the debate this site's Hype vs Fundamentals module runs on AI &amp; Semiconductors generally.</w:t>
      </w:r>
    </w:p>
    <w:p>
      <w:pPr>
        <w:spacing w:after="160"/>
        <w:jc w:val="left"/>
      </w:pPr>
      <w:r>
        <w:rPr>
          <w:b/>
          <w:bCs/>
        </w:rPr>
        <w:t xml:space="preserve">Personal-connection angle:</w:t>
      </w:r>
      <w:r>
        <w:t xml:space="preserve"> You are quite literally using Microsoft's products to write your university coursework right now, and if Copilot has started appearing inside Word/Teams/Outlook at UCL or in any part-time work, you've already met the exact product this $190bn bet is riding on.</w:t>
      </w:r>
    </w:p>
    <w:p>
      <w:pPr>
        <w:spacing w:after="160"/>
        <w:jc w:val="left"/>
      </w:pPr>
      <w:r>
        <w:rPr>
          <w:b/>
          <w:bCs/>
        </w:rPr>
        <w:t xml:space="preserve">Key risk:</w:t>
      </w:r>
      <w:r>
        <w:t xml:space="preserve"> If Copilot adoption/monetization doesn't scale meaningfully faster than it has so far, the market's patience with a multi-year "trust me" capex story could run out — this is precisely the AI-bubble tension already live in this site's Hype vs Fundamentals section.</w:t>
      </w:r>
    </w:p>
    <w:p>
      <w:pPr>
        <w:spacing w:after="160"/>
        <w:jc w:val="left"/>
      </w:pPr>
      <w:r>
        <w:rPr>
          <w:b/>
          <w:bCs/>
        </w:rPr>
        <w:t xml:space="preserve">Sources:</w:t>
      </w:r>
      <w:r>
        <w:t xml:space="preserve"> </w:t>
      </w:r>
      <w:hyperlink w:history="1" r:id="rIdz_iz8ltkfayqy4q6qp8v4">
        <w:r>
          <w:rPr>
            <w:rStyle w:val="Hyperlink"/>
          </w:rPr>
          <w:t xml:space="preserve">Microsoft OpenAI stake and Q3 FY2026 capex</w:t>
        </w:r>
      </w:hyperlink>
      <w:r>
        <w:t xml:space="preserve">, </w:t>
      </w:r>
      <w:hyperlink w:history="1" r:id="rIdmkosa4uaa9kswm-ppcju2">
        <w:r>
          <w:rPr>
            <w:rStyle w:val="Hyperlink"/>
          </w:rPr>
          <w:t xml:space="preserve">Copilot monetization math</w:t>
        </w:r>
      </w:hyperlink>
    </w:p>
    <w:p>
      <w:pPr>
        <w:pBdr>
          <w:bottom w:val="single" w:color="999999" w:sz="6" w:space="4"/>
        </w:pBdr>
        <w:spacing w:after="200" w:before="200"/>
      </w:pPr>
    </w:p>
    <w:p>
      <w:pPr>
        <w:pStyle w:val="Heading2"/>
        <w:spacing w:after="120" w:before="300"/>
      </w:pPr>
      <w:r>
        <w:t xml:space="preserve">4. British American Tobacco (LSE: BATS / NYSE: BTI) — the controversial one, with a direct NBIM tie-in</w:t>
      </w:r>
    </w:p>
    <w:p>
      <w:pPr>
        <w:spacing w:after="160"/>
        <w:jc w:val="left"/>
      </w:pPr>
      <w:r>
        <w:rPr>
          <w:b/>
          <w:bCs/>
        </w:rPr>
        <w:t xml:space="preserve">What it is:</w:t>
      </w:r>
      <w:r>
        <w:t xml:space="preserve"> One of the world's largest tobacco companies (Dunhill, Lucky Strike, Vuse vapes, Velo nicotine pouches), and a genuine, live example of the ESG-exclusion debate you'll run into directly if you end up at NBIM.</w:t>
      </w:r>
    </w:p>
    <w:p>
      <w:pPr>
        <w:spacing w:after="160"/>
        <w:jc w:val="left"/>
      </w:pPr>
      <w:r>
        <w:rPr>
          <w:b/>
          <w:bCs/>
        </w:rPr>
        <w:t xml:space="preserve">The pitch:</w:t>
      </w:r>
      <w:r>
        <w:t xml:space="preserve"> BAT is the classic "value trap or deep value" argument. It's committed to a £1.3bn 2026 share buyback programme on top of a progressive dividend (next dividend 61.26p per share), and its "New Categories" (vapes, nicotine pouches, heated tobacco) business is back to double-digit growth, led by Velo, which reached a #2 volume/value position in its category within a year of a key launch and is already profitable. Management's own financial algorithm targets +3-5% revenue, +4-6% profit, +5-8% EPS growth — 2026 guidance sits at the low end of that range while the company keeps reinvesting in the transition away from combustible cigarettes. The stock has historically traded at a low single-digit-to-low-teens P/E and a high dividend yield precisely because so much of the market treats it as structurally declining/excluded — which is exactly the "is the discount justified or is the market wrong" question a value analyst has to answer.</w:t>
      </w:r>
    </w:p>
    <w:p>
      <w:pPr>
        <w:spacing w:after="160"/>
        <w:jc w:val="left"/>
      </w:pPr>
      <w:r>
        <w:rPr>
          <w:b/>
          <w:bCs/>
        </w:rPr>
        <w:t xml:space="preserve">The direct NBIM angle, and why this pitch matters for your specific goal:</w:t>
      </w:r>
      <w:r>
        <w:t xml:space="preserve"> Norway's Government Pension Fund Global has publicly and explicitly excluded tobacco *manufacturers* (not just producers of some component) from its investable universe since around 2010, on ethical grounds set by Norway's own Council on Ethics — this is one of the cleanest real-world examples of NBIM's exclusion criteria actually removing a large-cap, high-yield stock from consideration, entirely independent of valuation. If you want to understand how NBIM's responsible-investment framework actually bites in practice (versus BAE Systems below, where conventional defense is *not* broadly excluded — a genuinely interesting contrast), BAT vs. BAE is the single clearest pair to study.</w:t>
      </w:r>
    </w:p>
    <w:p>
      <w:pPr>
        <w:spacing w:after="160"/>
        <w:jc w:val="left"/>
      </w:pPr>
      <w:r>
        <w:rPr>
          <w:b/>
          <w:bCs/>
        </w:rPr>
        <w:t xml:space="preserve">Macro angle:</w:t>
      </w:r>
      <w:r>
        <w:t xml:space="preserve"> Regulatory risk (flavour bans, nicotine caps, illicit vape enforcement) is the dominant variable here, more than any macro cycle — the "illicit proliferation" problem specifically called out in BAT's own 2026 commentary on Vuse is a real, ongoing headwind independent of consumer demand.</w:t>
      </w:r>
    </w:p>
    <w:p>
      <w:pPr>
        <w:spacing w:after="160"/>
        <w:jc w:val="left"/>
      </w:pPr>
      <w:r>
        <w:rPr>
          <w:b/>
          <w:bCs/>
        </w:rPr>
        <w:t xml:space="preserve">Personal-connection angle:</w:t>
      </w:r>
      <w:r>
        <w:t xml:space="preserve"> Even if you don't smoke or vape yourself, Vuse and other vape products are one of the most visible consumer-goods categories among UK students right now — hard to walk past a corner shop or a student night out without seeing the category BAT is fighting to own.</w:t>
      </w:r>
    </w:p>
    <w:p>
      <w:pPr>
        <w:spacing w:after="160"/>
        <w:jc w:val="left"/>
      </w:pPr>
      <w:r>
        <w:rPr>
          <w:b/>
          <w:bCs/>
        </w:rPr>
        <w:t xml:space="preserve">Key risk:</w:t>
      </w:r>
      <w:r>
        <w:t xml:space="preserve"> Structural decline in combustible cigarette volumes in developed markets is real and permanent; the entire bull case rests on New Categories growing fast enough, and staying profitable enough, to replace that decline before it erodes the dividend.</w:t>
      </w:r>
    </w:p>
    <w:p>
      <w:pPr>
        <w:spacing w:after="160"/>
        <w:jc w:val="left"/>
      </w:pPr>
      <w:r>
        <w:rPr>
          <w:b/>
          <w:bCs/>
        </w:rPr>
        <w:t xml:space="preserve">Sources:</w:t>
      </w:r>
      <w:r>
        <w:t xml:space="preserve"> </w:t>
      </w:r>
      <w:hyperlink w:history="1" r:id="rIdcyglvgzxqpvs79lt5m4hk">
        <w:r>
          <w:rPr>
            <w:rStyle w:val="Hyperlink"/>
          </w:rPr>
          <w:t xml:space="preserve">BAT FY2026 buyback and dividend guidance</w:t>
        </w:r>
      </w:hyperlink>
      <w:r>
        <w:t xml:space="preserve">, </w:t>
      </w:r>
      <w:hyperlink w:history="1" r:id="rIdfbx8ndvzlxakrhjztvwmx">
        <w:r>
          <w:rPr>
            <w:rStyle w:val="Hyperlink"/>
          </w:rPr>
          <w:t xml:space="preserve">BAT New Categories/Vuse strategy</w:t>
        </w:r>
      </w:hyperlink>
      <w:r>
        <w:t xml:space="preserve">, </w:t>
      </w:r>
      <w:hyperlink w:history="1" r:id="rIdqpromfjmotd32jnqnqivj">
        <w:r>
          <w:rPr>
            <w:rStyle w:val="Hyperlink"/>
          </w:rPr>
          <w:t xml:space="preserve">NBIM's ethical exclusions and Council on Ethics</w:t>
        </w:r>
      </w:hyperlink>
    </w:p>
    <w:p>
      <w:pPr>
        <w:pBdr>
          <w:bottom w:val="single" w:color="999999" w:sz="6" w:space="4"/>
        </w:pBdr>
        <w:spacing w:after="200" w:before="200"/>
      </w:pPr>
    </w:p>
    <w:p>
      <w:pPr>
        <w:pStyle w:val="Heading2"/>
        <w:spacing w:after="120" w:before="300"/>
      </w:pPr>
      <w:r>
        <w:t xml:space="preserve">5. BAE Systems (LSE: BA.) — the geopolitical one, and the mirror image of the BAT ESG question</w:t>
      </w:r>
    </w:p>
    <w:p>
      <w:pPr>
        <w:spacing w:after="160"/>
        <w:jc w:val="left"/>
      </w:pPr>
      <w:r>
        <w:rPr>
          <w:b/>
          <w:bCs/>
        </w:rPr>
        <w:t xml:space="preserve">What it is:</w:t>
      </w:r>
      <w:r>
        <w:t xml:space="preserve"> Britain's largest defense contractor — submarines, fighter aircraft (Typhoon, F-35 components), naval vessels, electronic warfare and air-defense systems — and the direct commercial face of Europe's post-Ukraine rearmament.</w:t>
      </w:r>
    </w:p>
    <w:p>
      <w:pPr>
        <w:spacing w:after="160"/>
        <w:jc w:val="left"/>
      </w:pPr>
      <w:r>
        <w:rPr>
          <w:b/>
          <w:bCs/>
        </w:rPr>
        <w:t xml:space="preserve">The pitch:</w:t>
      </w:r>
      <w:r>
        <w:t xml:space="preserve"> BAE's order backlog hit a record £83.6bn in 2025 (up £5.8bn from 2024), with 2025 order intake of £36.8bn. Management guided to 7-9% sales growth in 2026 and cumulative free cash flow above £6bn across 2026-2028. A specific, vivid data point: roughly £1.1bn of that order growth came from MBDA missile systems (Aster, VL MICA, Mistral) — a direct, traceable response to European governments scrambling to rebuild air-defense stockpiles after watching missile and drone warfare play out in Ukraine in real time.</w:t>
      </w:r>
    </w:p>
    <w:p>
      <w:pPr>
        <w:spacing w:after="160"/>
        <w:jc w:val="left"/>
      </w:pPr>
      <w:r>
        <w:rPr>
          <w:b/>
          <w:bCs/>
        </w:rPr>
        <w:t xml:space="preserve">Macro/geopolitical angle:</w:t>
      </w:r>
      <w:r>
        <w:t xml:space="preserve"> This is as close to a pure geopolitical-risk-premium trade as a FTSE 100 stock gets — the entire re-rating of European defense names since 2022 is a direct market reaction to Russia's invasion of Ukraine and the resulting collapse of the post-Cold-War assumption that European defense budgets could stay permanently low. NATO members' commitments to raise defense spending as a share of GDP are the structural tailwind behind BAE's order book, not a cyclical one — this is a genuine "has the world changed" macro thesis, not just a quarter-to-quarter earnings story.</w:t>
      </w:r>
    </w:p>
    <w:p>
      <w:pPr>
        <w:spacing w:after="160"/>
        <w:jc w:val="left"/>
      </w:pPr>
      <w:r>
        <w:rPr>
          <w:b/>
          <w:bCs/>
        </w:rPr>
        <w:t xml:space="preserve">The BAT contrast, worth thinking through explicitly:</w:t>
      </w:r>
      <w:r>
        <w:t xml:space="preserve"> NBIM does *not* broadly exclude conventional defense manufacturers the way it excludes tobacco — its product-based exclusions specifically target things like cluster munitions, anti-personnel landmines, and nuclear weapons components, not conventional arms manufacturing generally. That means a stock like BAE sits inside NBIM's investable universe while BAT sits outside it — a genuinely useful real case study in how "controversial" and "ESG-excluded" are not the same category, which is exactly the kind of nuance an NBIM-track analyst should be able to explain, not just gesture at.</w:t>
      </w:r>
    </w:p>
    <w:p>
      <w:pPr>
        <w:spacing w:after="160"/>
        <w:jc w:val="left"/>
      </w:pPr>
      <w:r>
        <w:rPr>
          <w:b/>
          <w:bCs/>
        </w:rPr>
        <w:t xml:space="preserve">Personal-connection angle:</w:t>
      </w:r>
      <w:r>
        <w:t xml:space="preserve"> Less a "you bought this" connection and more a "you've been living through the actual news story this stock is priced on" — every headline about Ukraine, NATO spending targets, or European rearmament that you've read as an econ student for the past few years is the macro backdrop directly driving this stock's re-rating.</w:t>
      </w:r>
    </w:p>
    <w:p>
      <w:pPr>
        <w:spacing w:after="160"/>
        <w:jc w:val="left"/>
      </w:pPr>
      <w:r>
        <w:rPr>
          <w:b/>
          <w:bCs/>
        </w:rPr>
        <w:t xml:space="preserve">Key risk:</w:t>
      </w:r>
      <w:r>
        <w:t xml:space="preserve"> A durable ceasefire or major de-escalation in Ukraine, or a serious pullback in NATO members' stated spending commitments, is the single biggest re-rating risk in the other direction — this stock's valuation has moved a long way on the assumption that elevated defense spending is now structural, not temporary.</w:t>
      </w:r>
    </w:p>
    <w:p>
      <w:pPr>
        <w:spacing w:after="160"/>
        <w:jc w:val="left"/>
      </w:pPr>
      <w:r>
        <w:rPr>
          <w:b/>
          <w:bCs/>
        </w:rPr>
        <w:t xml:space="preserve">Sources:</w:t>
      </w:r>
      <w:r>
        <w:t xml:space="preserve"> </w:t>
      </w:r>
      <w:hyperlink w:history="1" r:id="rIdbszc_tcdkxn4ydvwgrfg_">
        <w:r>
          <w:rPr>
            <w:rStyle w:val="Hyperlink"/>
          </w:rPr>
          <w:t xml:space="preserve">BAE record £83.6bn order backlog</w:t>
        </w:r>
      </w:hyperlink>
      <w:r>
        <w:t xml:space="preserve">, </w:t>
      </w:r>
      <w:hyperlink w:history="1" r:id="rIdpi6thca-mclhdzf8ekxoi">
        <w:r>
          <w:rPr>
            <w:rStyle w:val="Hyperlink"/>
          </w:rPr>
          <w:t xml:space="preserve">BAE Systems and European rearmament, CNBC</w:t>
        </w:r>
      </w:hyperlink>
      <w:r>
        <w:t xml:space="preserve">, </w:t>
      </w:r>
      <w:hyperlink w:history="1" r:id="rIdakfassg0wrsszgeghngvq">
        <w:r>
          <w:rPr>
            <w:rStyle w:val="Hyperlink"/>
          </w:rPr>
          <w:t xml:space="preserve">BAE MBDA missile orders and Ukraine</w:t>
        </w:r>
      </w:hyperlink>
    </w:p>
    <w:p>
      <w:pPr>
        <w:pBdr>
          <w:bottom w:val="single" w:color="999999" w:sz="6" w:space="4"/>
        </w:pBdr>
        <w:spacing w:after="200" w:before="200"/>
      </w:pPr>
    </w:p>
    <w:p>
      <w:pPr>
        <w:pStyle w:val="Heading2"/>
        <w:spacing w:after="120" w:before="300"/>
      </w:pPr>
      <w:r>
        <w:t xml:space="preserve">6. ASML (NASDAQ/AEX: ASML) — the semiconductor-geopolitics one</w:t>
      </w:r>
    </w:p>
    <w:p>
      <w:pPr>
        <w:spacing w:after="160"/>
        <w:jc w:val="left"/>
      </w:pPr>
      <w:r>
        <w:rPr>
          <w:b/>
          <w:bCs/>
        </w:rPr>
        <w:t xml:space="preserve">What it is:</w:t>
      </w:r>
      <w:r>
        <w:t xml:space="preserve"> The Dutch company that makes the only machines in the world capable of extreme ultraviolet (EUV) lithography — the process that etches the most advanced chip designs onto silicon. Every leading-edge chip on Earth, from Nvidia's AI accelerators to the processor in your phone, passes through an ASML machine at some point in its supply chain.</w:t>
      </w:r>
    </w:p>
    <w:p>
      <w:pPr>
        <w:spacing w:after="160"/>
        <w:jc w:val="left"/>
      </w:pPr>
      <w:r>
        <w:rPr>
          <w:b/>
          <w:bCs/>
        </w:rPr>
        <w:t xml:space="preserve">The pitch:</w:t>
      </w:r>
      <w:r>
        <w:t xml:space="preserve"> ASML's backlog stood at €38.8bn at year-end 2025 (including €7.4bn of EUV bookings specifically) — more than a full year of current revenue, and not the kind of order book that gets cancelled on a whim. The company has never shipped an EUV machine to China and says it hasn't breached export controls despite recent US scrutiny, but the broader trend is unmistakable: China's share of ASML's system sales is expected to fall from 33% in 2025 to roughly 20% in 2026, with quarterly China sales already down to 19% of total (from 36% the prior quarter), as the 2025-2026 "MATCH Act" proposal in the US Congress pushes to further restrict advanced chipmaking equipment sales to China. Despite that headwind, guidance remains strong because there is currently no substitute supplier for EUV at the leading edge — this is a genuine monopoly on the single hardest step in modern chip manufacturing.</w:t>
      </w:r>
    </w:p>
    <w:p>
      <w:pPr>
        <w:spacing w:after="160"/>
        <w:jc w:val="left"/>
      </w:pPr>
      <w:r>
        <w:rPr>
          <w:b/>
          <w:bCs/>
        </w:rPr>
        <w:t xml:space="preserve">Macro/geopolitical angle:</w:t>
      </w:r>
      <w:r>
        <w:t xml:space="preserve"> ASML is the cleanest possible single-stock proxy for the US-China chip war. Every escalation in export controls is a real, quantifiable hit to its addressable market (China revenue mix), while every leading-edge chip demand story (AI accelerators specifically) is a tailwind through the non-China two-thirds of its business — it's simultaneously a direct casualty and a direct beneficiary of the same broader tech-decoupling story, which makes it a genuinely interesting one to actually model rather than just read headlines about.</w:t>
      </w:r>
    </w:p>
    <w:p>
      <w:pPr>
        <w:spacing w:after="160"/>
        <w:jc w:val="left"/>
      </w:pPr>
      <w:r>
        <w:rPr>
          <w:b/>
          <w:bCs/>
        </w:rPr>
        <w:t xml:space="preserve">Personal-connection angle:</w:t>
      </w:r>
      <w:r>
        <w:t xml:space="preserve"> This is the "you don't see it but you use it constantly" pitch — the chip inside your laptop, your phone, and (per Microsoft's capex above) the servers running the AI you're using right now were almost certainly patterned using an ASML machine at some point, even though you've never heard of the company from a consumer-facing angle.</w:t>
      </w:r>
    </w:p>
    <w:p>
      <w:pPr>
        <w:spacing w:after="160"/>
        <w:jc w:val="left"/>
      </w:pPr>
      <w:r>
        <w:rPr>
          <w:b/>
          <w:bCs/>
        </w:rPr>
        <w:t xml:space="preserve">Key risk:</w:t>
      </w:r>
      <w:r>
        <w:t xml:space="preserve"> Escalating export controls are a real, structural headwind to a third of the historical customer base — the bull case depends on non-China (especially AI-driven) demand growing fast enough to keep absorbing that capacity.</w:t>
      </w:r>
    </w:p>
    <w:p>
      <w:pPr>
        <w:spacing w:after="160"/>
        <w:jc w:val="left"/>
      </w:pPr>
      <w:r>
        <w:rPr>
          <w:b/>
          <w:bCs/>
        </w:rPr>
        <w:t xml:space="preserve">Sources:</w:t>
      </w:r>
      <w:r>
        <w:t xml:space="preserve"> </w:t>
      </w:r>
      <w:hyperlink w:history="1" r:id="rIdjcbqruoxbqad4z5uezvcv">
        <w:r>
          <w:rPr>
            <w:rStyle w:val="Hyperlink"/>
          </w:rPr>
          <w:t xml:space="preserve">ASML China export restrictions and revenue mix</w:t>
        </w:r>
      </w:hyperlink>
      <w:r>
        <w:t xml:space="preserve">, </w:t>
      </w:r>
      <w:hyperlink w:history="1" r:id="rIdpho3jzdaq6vewarbu-pld">
        <w:r>
          <w:rPr>
            <w:rStyle w:val="Hyperlink"/>
          </w:rPr>
          <w:t xml:space="preserve">ASML backlog and EUV monopoly</w:t>
        </w:r>
      </w:hyperlink>
      <w:r>
        <w:t xml:space="preserve">, </w:t>
      </w:r>
      <w:hyperlink w:history="1" r:id="rIdnzjmva6dp44jwpp-pp6cm">
        <w:r>
          <w:rPr>
            <w:rStyle w:val="Hyperlink"/>
          </w:rPr>
          <w:t xml:space="preserve">ASML denies EUV shipments to China</w:t>
        </w:r>
      </w:hyperlink>
    </w:p>
    <w:p>
      <w:pPr>
        <w:pBdr>
          <w:bottom w:val="single" w:color="999999" w:sz="6" w:space="4"/>
        </w:pBdr>
        <w:spacing w:after="200" w:before="200"/>
      </w:pPr>
    </w:p>
    <w:p>
      <w:pPr>
        <w:pStyle w:val="Heading2"/>
        <w:spacing w:after="120" w:before="300"/>
      </w:pPr>
      <w:r>
        <w:t xml:space="preserve">7. Maersk (CPH: MAERSK-B) — the shipping/geopolitics one, and a live "what happens when the crisis ends" case study</w:t>
      </w:r>
    </w:p>
    <w:p>
      <w:pPr>
        <w:spacing w:after="160"/>
        <w:jc w:val="left"/>
      </w:pPr>
      <w:r>
        <w:rPr>
          <w:b/>
          <w:bCs/>
        </w:rPr>
        <w:t xml:space="preserve">What it is:</w:t>
      </w:r>
      <w:r>
        <w:t xml:space="preserve"> One of the world's largest container shipping and logistics companies — the literal ships carrying much of what you buy online across oceans.</w:t>
      </w:r>
    </w:p>
    <w:p>
      <w:pPr>
        <w:spacing w:after="160"/>
        <w:jc w:val="left"/>
      </w:pPr>
      <w:r>
        <w:rPr>
          <w:b/>
          <w:bCs/>
        </w:rPr>
        <w:t xml:space="preserve">The pitch:</w:t>
      </w:r>
      <w:r>
        <w:t xml:space="preserve"> For over a year, Houthi attacks in the Red Sea forced most container lines (Maersk included) to reroute around the Cape of Good Hope instead of the Suez Canal — adding transit time, removing effective global shipping capacity, and pushing freight rates up sharply (Asia-Europe rates 25-40% higher, Asia-US East Coast 15-25% higher than they'd otherwise be, adding $800-1,500 to a typical 40ft container). Maersk has just started reversing that: it completed test voyages and announced a permanent transition of its MECL service back through the Suez Canal in 2026, after 14 months of diversion. That's genuinely good news for global trade efficiency — and genuinely bad news for Maersk's own near-term earnings, because the return of that rerouted capacity to the market is expected to release 6-8% of global container capacity back into normal circulation, and analysts (HSBC among them) have warned the resulting rate collapse could be severe enough to push Maersk and peers like Hapag-Lloyd into losses.</w:t>
      </w:r>
    </w:p>
    <w:p>
      <w:pPr>
        <w:spacing w:after="160"/>
        <w:jc w:val="left"/>
      </w:pPr>
      <w:r>
        <w:rPr>
          <w:b/>
          <w:bCs/>
        </w:rPr>
        <w:t xml:space="preserve">This is a rare, clean example of a company's own operational good news (safer, faster, cheaper routing) being bad news for its stock (rates collapsing as capacity floods back)</w:t>
      </w:r>
      <w:r>
        <w:t xml:space="preserve"> — worth sitting with, because "is this good or bad for the company" is not always the same question as "is this good or bad for the world," and untangling that distinction is a real analytical skill.</w:t>
      </w:r>
    </w:p>
    <w:p>
      <w:pPr>
        <w:spacing w:after="160"/>
        <w:jc w:val="left"/>
      </w:pPr>
      <w:r>
        <w:rPr>
          <w:b/>
          <w:bCs/>
        </w:rPr>
        <w:t xml:space="preserve">Macro/geopolitical angle:</w:t>
      </w:r>
      <w:r>
        <w:t xml:space="preserve"> This is the most directly geopolitical pitch on the list — the entire multi-year freight-rate story has been driven by the Israel-Hamas war's regional spillover into Yemen/Houthi attacks on Red Sea shipping, and its resolution (or non-resolution) is a pure geopolitical call, not an economic one.</w:t>
      </w:r>
    </w:p>
    <w:p>
      <w:pPr>
        <w:spacing w:after="160"/>
        <w:jc w:val="left"/>
      </w:pPr>
      <w:r>
        <w:rPr>
          <w:b/>
          <w:bCs/>
        </w:rPr>
        <w:t xml:space="preserve">Personal-connection angle:</w:t>
      </w:r>
      <w:r>
        <w:t xml:space="preserve"> Every import-heavy product you've bought online in the last 18 months has had some of that $800-1,500-per-container Red Sea premium baked into its price, whether you noticed or not — this is a case where "the news" and "your own cost of living" were the same story the whole time.</w:t>
      </w:r>
    </w:p>
    <w:p>
      <w:pPr>
        <w:spacing w:after="160"/>
        <w:jc w:val="left"/>
      </w:pPr>
      <w:r>
        <w:rPr>
          <w:b/>
          <w:bCs/>
        </w:rPr>
        <w:t xml:space="preserve">Key risk:</w:t>
      </w:r>
      <w:r>
        <w:t xml:space="preserve"> A full, durable normalization of Red Sea transit could compress freight rates faster than the market currently expects, which — counterintuitively for a "good news" geopolitical outcome — is the actual bear case for the stock.</w:t>
      </w:r>
    </w:p>
    <w:p>
      <w:pPr>
        <w:spacing w:after="160"/>
        <w:jc w:val="left"/>
      </w:pPr>
      <w:r>
        <w:rPr>
          <w:b/>
          <w:bCs/>
        </w:rPr>
        <w:t xml:space="preserve">Sources:</w:t>
      </w:r>
      <w:r>
        <w:t xml:space="preserve"> </w:t>
      </w:r>
      <w:hyperlink w:history="1" r:id="rIdwl27da-nanskqhqmkm3kt">
        <w:r>
          <w:rPr>
            <w:rStyle w:val="Hyperlink"/>
          </w:rPr>
          <w:t xml:space="preserve">Maersk's Suez Canal return</w:t>
        </w:r>
      </w:hyperlink>
      <w:r>
        <w:t xml:space="preserve">, </w:t>
      </w:r>
      <w:hyperlink w:history="1" r:id="rIdwtjn66tpiod53_qc3thi7">
        <w:r>
          <w:rPr>
            <w:rStyle w:val="Hyperlink"/>
          </w:rPr>
          <w:t xml:space="preserve">Red Sea freight rate premium</w:t>
        </w:r>
      </w:hyperlink>
      <w:r>
        <w:t xml:space="preserve">, </w:t>
      </w:r>
      <w:hyperlink w:history="1" r:id="rIdcwascgcb2q08zbxs1ons8">
        <w:r>
          <w:rPr>
            <w:rStyle w:val="Hyperlink"/>
          </w:rPr>
          <w:t xml:space="preserve">Rate collapse risk from Suez return</w:t>
        </w:r>
      </w:hyperlink>
    </w:p>
    <w:p>
      <w:pPr>
        <w:pBdr>
          <w:bottom w:val="single" w:color="999999" w:sz="6" w:space="4"/>
        </w:pBdr>
        <w:spacing w:after="200" w:before="200"/>
      </w:pPr>
    </w:p>
    <w:p>
      <w:pPr>
        <w:pStyle w:val="Heading2"/>
        <w:spacing w:after="120" w:before="300"/>
      </w:pPr>
      <w:r>
        <w:t xml:space="preserve">8. Greggs (LSE: GRG) — the everyday UK one</w:t>
      </w:r>
    </w:p>
    <w:p>
      <w:pPr>
        <w:spacing w:after="160"/>
        <w:jc w:val="left"/>
      </w:pPr>
      <w:r>
        <w:rPr>
          <w:b/>
          <w:bCs/>
        </w:rPr>
        <w:t xml:space="preserve">What it is:</w:t>
      </w:r>
      <w:r>
        <w:t xml:space="preserve"> The UK's ubiquitous bakery/food-on-the-go chain — sausage rolls, the Chicken Roll, meal deals — and one of the most recognizable high-street names to any UK student.</w:t>
      </w:r>
    </w:p>
    <w:p>
      <w:pPr>
        <w:spacing w:after="160"/>
        <w:jc w:val="left"/>
      </w:pPr>
      <w:r>
        <w:rPr>
          <w:b/>
          <w:bCs/>
        </w:rPr>
        <w:t xml:space="preserve">The pitch:</w:t>
      </w:r>
      <w:r>
        <w:t xml:space="preserve"> Greggs posted £800m of sales in the first 19 weeks of 2026, up 7.5% on the same period in 2025, with like-for-like sales in company-managed shops accelerating to 3.3% in the most recent 10 weeks — helped in part by April 2026's Chicken Roll launch, described as a genuine customer favourite. Shares rose over 5% on the update. The strategic story going forward is about capital discipline finally catching up to years of estate expansion: heavy capex is set to fall from £287.5m in 2025 toward £200m in 2026 and £150-170m from 2027, which should free up cash and improve returns on capital as the newer, already-built sites mature rather than continuing to add new ones at the same pace.</w:t>
      </w:r>
    </w:p>
    <w:p>
      <w:pPr>
        <w:spacing w:after="160"/>
        <w:jc w:val="left"/>
      </w:pPr>
      <w:r>
        <w:rPr>
          <w:b/>
          <w:bCs/>
        </w:rPr>
        <w:t xml:space="preserve">Macro angle:</w:t>
      </w:r>
      <w:r>
        <w:t xml:space="preserve"> Greggs is a genuine "value/discretionary" bellwether for UK consumer spending — its whole positioning (cheap, fast, no-frills) means it tends to be relatively resilient (sometimes even benefits from "trading down") when household budgets tighten, which makes its like-for-like sales trend a useful real-time read on UK consumer health more broadly.</w:t>
      </w:r>
    </w:p>
    <w:p>
      <w:pPr>
        <w:spacing w:after="160"/>
        <w:jc w:val="left"/>
      </w:pPr>
      <w:r>
        <w:rPr>
          <w:b/>
          <w:bCs/>
        </w:rPr>
        <w:t xml:space="preserve">Personal-connection angle:</w:t>
      </w:r>
      <w:r>
        <w:t xml:space="preserve"> This is the most direct connection on the entire list — if you've ever grabbed a meal deal between lectures at UCL, you've been a Greggs customer, full stop.</w:t>
      </w:r>
    </w:p>
    <w:p>
      <w:pPr>
        <w:spacing w:after="160"/>
        <w:jc w:val="left"/>
      </w:pPr>
      <w:r>
        <w:rPr>
          <w:b/>
          <w:bCs/>
        </w:rPr>
        <w:t xml:space="preserve">Key risk:</w:t>
      </w:r>
      <w:r>
        <w:t xml:space="preserve"> The bull case now depends on margin/returns discipline (slower capex, better returns on the existing estate) rather than pure growth — if like-for-like sales momentum fades just as capex is being cut back, there's less growth to fall back on.</w:t>
      </w:r>
    </w:p>
    <w:p>
      <w:pPr>
        <w:spacing w:after="160"/>
        <w:jc w:val="left"/>
      </w:pPr>
      <w:r>
        <w:rPr>
          <w:b/>
          <w:bCs/>
        </w:rPr>
        <w:t xml:space="preserve">Sources:</w:t>
      </w:r>
      <w:r>
        <w:t xml:space="preserve"> </w:t>
      </w:r>
      <w:hyperlink w:history="1" r:id="rId8valgl4o5kdl8hruufti8">
        <w:r>
          <w:rPr>
            <w:rStyle w:val="Hyperlink"/>
          </w:rPr>
          <w:t xml:space="preserve">Greggs H1 2026 sales growth</w:t>
        </w:r>
      </w:hyperlink>
      <w:r>
        <w:t xml:space="preserve">, </w:t>
      </w:r>
      <w:hyperlink w:history="1" r:id="rId4qcsz4xxedz94k_anxxyf">
        <w:r>
          <w:rPr>
            <w:rStyle w:val="Hyperlink"/>
          </w:rPr>
          <w:t xml:space="preserve">Greggs capex reduction plan</w:t>
        </w:r>
      </w:hyperlink>
    </w:p>
    <w:p>
      <w:pPr>
        <w:pBdr>
          <w:bottom w:val="single" w:color="999999" w:sz="6" w:space="4"/>
        </w:pBdr>
        <w:spacing w:after="200" w:before="200"/>
      </w:pPr>
    </w:p>
    <w:p>
      <w:pPr>
        <w:pStyle w:val="Heading2"/>
        <w:spacing w:after="120" w:before="300"/>
      </w:pPr>
      <w:r>
        <w:t xml:space="preserve">9. Palantir Technologies (NASDAQ: PLTR) — the second controversial one, and the cleanest "is this the top" stock on the whole list</w:t>
      </w:r>
    </w:p>
    <w:p>
      <w:pPr>
        <w:spacing w:after="160"/>
        <w:jc w:val="left"/>
      </w:pPr>
      <w:r>
        <w:rPr>
          <w:b/>
          <w:bCs/>
        </w:rPr>
        <w:t xml:space="preserve">What it is:</w:t>
      </w:r>
      <w:r>
        <w:t xml:space="preserve"> A data-analytics/AI software company built originally for US government and defense clients (Palantir Gotham), now expanding aggressively into commercial AI (Palantir AIP).</w:t>
      </w:r>
    </w:p>
    <w:p>
      <w:pPr>
        <w:spacing w:after="160"/>
        <w:jc w:val="left"/>
      </w:pPr>
      <w:r>
        <w:rPr>
          <w:b/>
          <w:bCs/>
        </w:rPr>
        <w:t xml:space="preserve">The pitch, and why it's genuinely controversial rather than just "another AI stock":</w:t>
      </w:r>
      <w:r>
        <w:t xml:space="preserve"> Palantir trades at roughly 200x trailing earnings and ~80x forward 2026 earnings — versus 25-40x forward earnings for most enterprise software peers — despite genuinely exceptional growth (a "Rule of 40" score above 140%, meaning growth rate plus profit margin comfortably clears the usual software-quality bar several times over). Commercial AI revenue surged 342% year-on-year to $1.31bn, with 47% free cash flow margins — real numbers, not vapourware. But government revenue is still 55% of the total, anchored by contracts like a $10bn multi-year US Army deal, which makes future growth partly a bet on continued political/budgetary alignment rather than pure market demand. The valuation math is brutally simple: at 85-100x forward earnings, even a modest miss (growth slowing from 60% to 40%) can compress the multiple enough to wipe out 40% of the share price with zero actual deterioration in the underlying business — pure multiple compression, nothing else. Michael Burry (of "The Big Short" fame) publicly disclosed a bet against both Palantir and Nvidia in late 2025, explicitly on this "priced for perfection" argument.</w:t>
      </w:r>
    </w:p>
    <w:p>
      <w:pPr>
        <w:spacing w:after="160"/>
        <w:jc w:val="left"/>
      </w:pPr>
      <w:r>
        <w:rPr>
          <w:b/>
          <w:bCs/>
        </w:rPr>
        <w:t xml:space="preserve">Macro/geopolitical angle:</w:t>
      </w:r>
      <w:r>
        <w:t xml:space="preserve"> Palantir's government-contract concentration ties its growth partly to US defense/intelligence budget cycles and political priorities (much like BAE Systems above, but through software rather than hardware) — it's genuinely exposed to both the AI-adoption macro story and the same defense-spending macro story as #5, in one stock.</w:t>
      </w:r>
    </w:p>
    <w:p>
      <w:pPr>
        <w:spacing w:after="160"/>
        <w:jc w:val="left"/>
      </w:pPr>
      <w:r>
        <w:rPr>
          <w:b/>
          <w:bCs/>
        </w:rPr>
        <w:t xml:space="preserve">Personal-connection angle:</w:t>
      </w:r>
      <w:r>
        <w:t xml:space="preserve"> Less a product you've used and more a company you've almost certainly seen argued about — Palantir is one of the most-discussed, most-polarizing names in any finance/tech discussion right now, precisely the kind of "everyone has a hot take" stock worth being able to actually value rather than just repeat a side of.</w:t>
      </w:r>
    </w:p>
    <w:p>
      <w:pPr>
        <w:spacing w:after="160"/>
        <w:jc w:val="left"/>
      </w:pPr>
      <w:r>
        <w:rPr>
          <w:b/>
          <w:bCs/>
        </w:rPr>
        <w:t xml:space="preserve">Key risk:</w:t>
      </w:r>
      <w:r>
        <w:t xml:space="preserve"> This is the single most explicit "hype vs. fundamentals" stock on this entire list — genuinely strong, real growth, priced at a multiple that leaves essentially no room for anything to go even slightly wrong.</w:t>
      </w:r>
    </w:p>
    <w:p>
      <w:pPr>
        <w:spacing w:after="160"/>
        <w:jc w:val="left"/>
      </w:pPr>
      <w:r>
        <w:rPr>
          <w:b/>
          <w:bCs/>
        </w:rPr>
        <w:t xml:space="preserve">Sources:</w:t>
      </w:r>
      <w:r>
        <w:t xml:space="preserve"> </w:t>
      </w:r>
      <w:hyperlink w:history="1" r:id="rIdbd0zdsiscz1hm9dhjzswk">
        <w:r>
          <w:rPr>
            <w:rStyle w:val="Hyperlink"/>
          </w:rPr>
          <w:t xml:space="preserve">Palantir valuation and Rule of 40</w:t>
        </w:r>
      </w:hyperlink>
      <w:r>
        <w:t xml:space="preserve">, </w:t>
      </w:r>
      <w:hyperlink w:history="1" r:id="rIdslvh2gvzgr8a6qrzmjnri">
        <w:r>
          <w:rPr>
            <w:rStyle w:val="Hyperlink"/>
          </w:rPr>
          <w:t xml:space="preserve">Palantir government contract concentration</w:t>
        </w:r>
      </w:hyperlink>
      <w:r>
        <w:t xml:space="preserve">, </w:t>
      </w:r>
      <w:hyperlink w:history="1" r:id="rIdq9mmutgmgpdrotluathsz">
        <w:r>
          <w:rPr>
            <w:rStyle w:val="Hyperlink"/>
          </w:rPr>
          <w:t xml:space="preserve">Michael Burry's bet against Palantir/Nvidia</w:t>
        </w:r>
      </w:hyperlink>
    </w:p>
    <w:p>
      <w:pPr>
        <w:pBdr>
          <w:bottom w:val="single" w:color="999999" w:sz="6" w:space="4"/>
        </w:pBdr>
        <w:spacing w:after="200" w:before="200"/>
      </w:pPr>
    </w:p>
    <w:p>
      <w:pPr>
        <w:pStyle w:val="Heading2"/>
        <w:spacing w:after="120" w:before="300"/>
      </w:pPr>
      <w:r>
        <w:t xml:space="preserve">10. Cameco (NYSE/TSX: CCJ) — the uranium/commodity-adjacent one, and the AI story's power-demand mirror image</w:t>
      </w:r>
    </w:p>
    <w:p>
      <w:pPr>
        <w:spacing w:after="160"/>
        <w:jc w:val="left"/>
      </w:pPr>
      <w:r>
        <w:rPr>
          <w:b/>
          <w:bCs/>
        </w:rPr>
        <w:t xml:space="preserve">What it is:</w:t>
      </w:r>
      <w:r>
        <w:t xml:space="preserve"> One of the world's largest uranium producers, giving direct exposure to the uranium price and the broader nuclear-fuel-cycle — the one commodity-linked pick on this list, expressed as an equity rather than the raw commodity itself, as you asked.</w:t>
      </w:r>
    </w:p>
    <w:p>
      <w:pPr>
        <w:spacing w:after="160"/>
        <w:jc w:val="left"/>
      </w:pPr>
      <w:r>
        <w:rPr>
          <w:b/>
          <w:bCs/>
        </w:rPr>
        <w:t xml:space="preserve">The pitch:</w:t>
      </w:r>
      <w:r>
        <w:t xml:space="preserve"> Uranium spot prices surged roughly 25% in January 2026, breaking above $100/lb for the first time in two years, before settling near $86/lb more recently; long-term contract prices reached $90/lb by Q1 2026, the highest since 2008. Cameco's Q1 2026 results beat expectations, with net earnings up 87% year-on-year and uranium-segment adjusted EBITDA up from C$286m to C$423m, on both higher volumes and a higher realized price ($66.21/lb vs $62.55/lb a year earlier). The driver is the same AI infrastructure buildout showing up everywhere else on this list, but through its electricity-demand side rather than its chip-demand side: hyperscalers are signing direct long-term power purchase agreements with nuclear operators to guarantee carbon-free, always-on electricity for data centers — Meta alone signed for up to 7.8 gigawatts of nuclear capacity in Q1 2026, and Microsoft (the same Microsoft from pitch #3) executed agreements for over 800 megawatts specifically for data-center operations.</w:t>
      </w:r>
    </w:p>
    <w:p>
      <w:pPr>
        <w:spacing w:after="160"/>
        <w:jc w:val="left"/>
      </w:pPr>
      <w:r>
        <w:rPr>
          <w:b/>
          <w:bCs/>
        </w:rPr>
        <w:t xml:space="preserve">Macro angle:</w:t>
      </w:r>
      <w:r>
        <w:t xml:space="preserve"> This is the cleanest "second-order AI trade" on the list — rather than betting directly on AI chips or software, Cameco is a bet that the AI buildout's electricity appetite (which nobody disputes is real and growing, unlike the software-monetization question in pitch #3) flows through into sustained uranium demand, in a market where new mine supply takes years to bring online regardless of price.</w:t>
      </w:r>
    </w:p>
    <w:p>
      <w:pPr>
        <w:spacing w:after="160"/>
        <w:jc w:val="left"/>
      </w:pPr>
      <w:r>
        <w:rPr>
          <w:b/>
          <w:bCs/>
        </w:rPr>
        <w:t xml:space="preserve">Personal-connection angle:</w:t>
      </w:r>
      <w:r>
        <w:t xml:space="preserve"> Every AI query you've run for this university project, and every one I've run researching it for you tonight, is part of the exact electricity-demand story this stock is priced on — about as direct a "you personally are the demand driver" connection as any pick on this list.</w:t>
      </w:r>
    </w:p>
    <w:p>
      <w:pPr>
        <w:spacing w:after="160"/>
        <w:jc w:val="left"/>
      </w:pPr>
      <w:r>
        <w:rPr>
          <w:b/>
          <w:bCs/>
        </w:rPr>
        <w:t xml:space="preserve">Key risk:</w:t>
      </w:r>
      <w:r>
        <w:t xml:space="preserve"> Uranium is a notoriously cyclical, historically volatile commodity market (long memory of the post-Fukushima crash) — a slowdown in the AI capex cycle itself (the same risk sitting under Microsoft and Palantir above) would hit the demand story this stock depends on, even though the electricity-demand thesis is arguably more durable than the software-monetization one.</w:t>
      </w:r>
    </w:p>
    <w:p>
      <w:pPr>
        <w:spacing w:after="160"/>
        <w:jc w:val="left"/>
      </w:pPr>
      <w:r>
        <w:rPr>
          <w:b/>
          <w:bCs/>
        </w:rPr>
        <w:t xml:space="preserve">Sources:</w:t>
      </w:r>
      <w:r>
        <w:t xml:space="preserve"> </w:t>
      </w:r>
      <w:hyperlink w:history="1" r:id="rId_oos0vcatcjkwfpg1te0q">
        <w:r>
          <w:rPr>
            <w:rStyle w:val="Hyperlink"/>
          </w:rPr>
          <w:t xml:space="preserve">Uranium price surge and AI data center demand</w:t>
        </w:r>
      </w:hyperlink>
      <w:r>
        <w:t xml:space="preserve">, </w:t>
      </w:r>
      <w:hyperlink w:history="1" r:id="rIdp9sabxu0itaftkbgauw6i">
        <w:r>
          <w:rPr>
            <w:rStyle w:val="Hyperlink"/>
          </w:rPr>
          <w:t xml:space="preserve">Cameco Q1 2026 results</w:t>
        </w:r>
      </w:hyperlink>
      <w:r>
        <w:t xml:space="preserve">, </w:t>
      </w:r>
      <w:hyperlink w:history="1" r:id="rIdfqp4njpjjn9dnbtj3pllm">
        <w:r>
          <w:rPr>
            <w:rStyle w:val="Hyperlink"/>
          </w:rPr>
          <w:t xml:space="preserve">Meta and Microsoft nuclear power purchase agreements</w:t>
        </w:r>
      </w:hyperlink>
    </w:p>
    <w:p>
      <w:r>
        <w:br w:type="page"/>
      </w:r>
    </w:p>
    <w:p>
      <w:pPr>
        <w:pStyle w:val="Heading1"/>
        <w:spacing w:after="80" w:before="100"/>
      </w:pPr>
      <w:r>
        <w:t xml:space="preserve">Hype vs Fundamentals: 10 Examples</w:t>
      </w:r>
    </w:p>
    <w:p>
      <w:pPr>
        <w:spacing w:after="40"/>
      </w:pPr>
      <w:r>
        <w:rPr>
          <w:i/>
          <w:iCs/>
          <w:color w:val="555555"/>
        </w:rPr>
        <w:t xml:space="preserve">Tulips, NFTs, the metaverse, a rolling truck, and the two open questions: AI and Pokemon cards</w:t>
      </w:r>
    </w:p>
    <w:p>
      <w:pPr>
        <w:spacing w:after="240"/>
      </w:pPr>
      <w:r>
        <w:rPr>
          <w:color w:val="888888"/>
          <w:sz w:val="18"/>
          <w:szCs w:val="18"/>
        </w:rPr>
        <w:t xml:space="preserve">Written 2026-07-22</w:t>
      </w:r>
    </w:p>
    <w:p>
      <w:pPr>
        <w:pStyle w:val="Heading1"/>
        <w:spacing w:after="160" w:before="300"/>
      </w:pPr>
      <w:r>
        <w:t xml:space="preserve">Hype vs Fundamentals: 10 examples, scored against what was actually promised</w:t>
      </w:r>
    </w:p>
    <w:p>
      <w:pPr>
        <w:spacing w:after="160"/>
        <w:jc w:val="left"/>
      </w:pPr>
      <w:r>
        <w:t xml:space="preserve">Real quotes, real sources, real numbers — no invented figures. Each one is scored on one simple question: </w:t>
      </w:r>
      <w:r>
        <w:rPr>
          <w:b/>
          <w:bCs/>
        </w:rPr>
        <w:t xml:space="preserve">did reality deliver anywhere near what the hype promised, or not?</w:t>
      </w:r>
      <w:r>
        <w:t xml:space="preserve"> Two are current and unresolved on purpose (AI, Pokemon cards) — you can't score those yet, only lay out the real evidence, which is the whole point.</w:t>
      </w:r>
    </w:p>
    <w:p>
      <w:pPr>
        <w:pBdr>
          <w:bottom w:val="single" w:color="999999" w:sz="6" w:space="4"/>
        </w:pBdr>
        <w:spacing w:after="200" w:before="200"/>
      </w:pPr>
    </w:p>
    <w:p>
      <w:pPr>
        <w:pStyle w:val="Heading2"/>
        <w:spacing w:after="120" w:before="300"/>
      </w:pPr>
      <w:r>
        <w:t xml:space="preserve">1. The AI Bubble — CURRENT, unresolved</w:t>
      </w:r>
    </w:p>
    <w:p>
      <w:pPr>
        <w:spacing w:after="160"/>
        <w:jc w:val="left"/>
      </w:pPr>
      <w:r>
        <w:rPr>
          <w:b/>
          <w:bCs/>
        </w:rPr>
        <w:t xml:space="preserve">The promise:</w:t>
      </w:r>
      <w:r>
        <w:t xml:space="preserve"> that we're in the early innings of a technology so transformative it justifies unprecedented capex ($190bn from Microsoft alone in 2026), unprecedented valuations (the Philadelphia Semiconductor Index up over 60% in 2026 alone), and a wholesale re-rating of the entire tech sector.</w:t>
      </w:r>
    </w:p>
    <w:p>
      <w:pPr>
        <w:spacing w:after="160"/>
        <w:jc w:val="left"/>
      </w:pPr>
      <w:r>
        <w:rPr>
          <w:b/>
          <w:bCs/>
        </w:rPr>
        <w:t xml:space="preserve">The tension, in the words of the people actually running it:</w:t>
      </w:r>
      <w:r>
        <w:t xml:space="preserve"> Jamie Dimon told Bloomberg TV markets are showing "too much exuberance," and more bluntly, at Bernstein's Strategic Decisions Conference in May 2026: *"It's gung-ho, folks."* But in his own April 2026 shareholder letter he wrote: *"the investment in AI is not a speculative bubble; rather, it will deliver significant benefits."* — the same man holding both positions at once, which tells you something about how genuinely unresolved this is even among people paid to know. Michael Burry — the man who called the 2008 mortgage crash — has explicitly compared this to "the end of the 1999-2000 dot-com bubble" and disclosed a bet against Palantir and Nvidia. Palantir's own CEO, Alex Karp, has publicly called Burry out for it.</w:t>
      </w:r>
    </w:p>
    <w:p>
      <w:pPr>
        <w:spacing w:after="160"/>
        <w:jc w:val="left"/>
      </w:pPr>
      <w:r>
        <w:rPr>
          <w:b/>
          <w:bCs/>
        </w:rPr>
        <w:t xml:space="preserve">The score so far:</w:t>
      </w:r>
      <w:r>
        <w:t xml:space="preserve"> genuinely can't be given. Real revenue is growing (Microsoft's AI run-rate is past $37bn), but Copilot's actual paid seats (~20 million) monetize at a fraction of the capex being spent to build the infrastructure behind them. This is quite literally hype *and* fundamentals happening simultaneously, in the same numbers, argued about by the same people — which is exactly why the site's own module refuses to render a verdict on it.</w:t>
      </w:r>
    </w:p>
    <w:p>
      <w:pPr>
        <w:spacing w:after="160"/>
        <w:jc w:val="left"/>
      </w:pPr>
      <w:r>
        <w:rPr>
          <w:b/>
          <w:bCs/>
        </w:rPr>
        <w:t xml:space="preserve">Sources:</w:t>
      </w:r>
      <w:r>
        <w:t xml:space="preserve"> </w:t>
      </w:r>
      <w:hyperlink w:history="1" r:id="rIdlta8vxqiid9vho0scw3jr">
        <w:r>
          <w:rPr>
            <w:rStyle w:val="Hyperlink"/>
          </w:rPr>
          <w:t xml:space="preserve">Jamie Dimon "too much exuberance" / "gung-ho"</w:t>
        </w:r>
      </w:hyperlink>
      <w:r>
        <w:t xml:space="preserve">, </w:t>
      </w:r>
      <w:hyperlink w:history="1" r:id="rIdwtgt0i4pbced6ouaafrj-">
        <w:r>
          <w:rPr>
            <w:rStyle w:val="Hyperlink"/>
          </w:rPr>
          <w:t xml:space="preserve">Dimon's April 2026 shareholder letter optimism</w:t>
        </w:r>
      </w:hyperlink>
      <w:r>
        <w:t xml:space="preserve">, </w:t>
      </w:r>
      <w:hyperlink w:history="1" r:id="rIdhyii_scc-i8vtyas_vmag">
        <w:r>
          <w:rPr>
            <w:rStyle w:val="Hyperlink"/>
          </w:rPr>
          <w:t xml:space="preserve">Michael Burry's dot-com comparison and Palantir/Nvidia short</w:t>
        </w:r>
      </w:hyperlink>
    </w:p>
    <w:p>
      <w:pPr>
        <w:pBdr>
          <w:bottom w:val="single" w:color="999999" w:sz="6" w:space="4"/>
        </w:pBdr>
        <w:spacing w:after="200" w:before="200"/>
      </w:pPr>
    </w:p>
    <w:p>
      <w:pPr>
        <w:pStyle w:val="Heading2"/>
        <w:spacing w:after="120" w:before="300"/>
      </w:pPr>
      <w:r>
        <w:t xml:space="preserve">2. Pokemon Card Hype — CURRENT, unresolved</w:t>
      </w:r>
    </w:p>
    <w:p>
      <w:pPr>
        <w:spacing w:after="160"/>
        <w:jc w:val="left"/>
      </w:pPr>
      <w:r>
        <w:rPr>
          <w:b/>
          <w:bCs/>
        </w:rPr>
        <w:t xml:space="preserve">The promise:</w:t>
      </w:r>
      <w:r>
        <w:t xml:space="preserve"> that a 1990s children's trading card game has become a genuine, appreciating collectible asset class — not a nostalgia toy, an investment.</w:t>
      </w:r>
    </w:p>
    <w:p>
      <w:pPr>
        <w:spacing w:after="160"/>
        <w:jc w:val="left"/>
      </w:pPr>
      <w:r>
        <w:rPr>
          <w:b/>
          <w:bCs/>
        </w:rPr>
        <w:t xml:space="preserve">The number that makes the case:</w:t>
      </w:r>
      <w:r>
        <w:t xml:space="preserve"> a Pikachu Illustrator card sold at Goldin Auctions in February 2026 for </w:t>
      </w:r>
      <w:r>
        <w:rPr>
          <w:b/>
          <w:bCs/>
        </w:rPr>
        <w:t xml:space="preserve">$16.5 million</w:t>
      </w:r>
      <w:r>
        <w:t xml:space="preserve"> — the highest price ever paid for any trading card at auction, sold by Logan Paul (who'd bought it years earlier for roughly $5m, banking an ~$8m profit) to collector AJ Scaramucci. A PSA-10 Charizard with no rarity symbol separately became the first Charizard ever to break $1 million, selling for $1.7m. Zoom out further and the case gets more serious: some vintage cards have appreciated </w:t>
      </w:r>
      <w:r>
        <w:rPr>
          <w:b/>
          <w:bCs/>
        </w:rPr>
        <w:t xml:space="preserve">3,821% since 2004</w:t>
      </w:r>
      <w:r>
        <w:t xml:space="preserve">, versus the S&amp;P 500's 483% over the same span — a real, if extremely selective, outperformance claim.</w:t>
      </w:r>
    </w:p>
    <w:p>
      <w:pPr>
        <w:spacing w:after="160"/>
        <w:jc w:val="left"/>
      </w:pPr>
      <w:r>
        <w:rPr>
          <w:b/>
          <w:bCs/>
        </w:rPr>
        <w:t xml:space="preserve">The other side of the same market, in the same year:</w:t>
      </w:r>
      <w:r>
        <w:t xml:space="preserve"> some Prismatic Evolutions "chase cards" dropped 50% from their peak within months of release — the exact volatility pattern of a speculative asset, not a stable investment. The market is genuinely bifurcated: a tiny number of ultra-rare vintage cards behaving like fine art, and a much larger volume of modern chase cards behaving like a penny-stock casino.</w:t>
      </w:r>
    </w:p>
    <w:p>
      <w:pPr>
        <w:spacing w:after="160"/>
        <w:jc w:val="left"/>
      </w:pPr>
      <w:r>
        <w:rPr>
          <w:b/>
          <w:bCs/>
        </w:rPr>
        <w:t xml:space="preserve">The score so far:</w:t>
      </w:r>
      <w:r>
        <w:t xml:space="preserve"> can't be given either — which is exactly why this is paired with the AI bubble as the two "open" cases. The vintage-card outperformance stat is real and eye-catching; whether it's a durable asset class or a Logan-Paul-shaped headline generator is the honest unresolved question.</w:t>
      </w:r>
    </w:p>
    <w:p>
      <w:pPr>
        <w:spacing w:after="160"/>
        <w:jc w:val="left"/>
      </w:pPr>
      <w:r>
        <w:rPr>
          <w:b/>
          <w:bCs/>
        </w:rPr>
        <w:t xml:space="preserve">Sources:</w:t>
      </w:r>
      <w:r>
        <w:t xml:space="preserve"> </w:t>
      </w:r>
      <w:hyperlink w:history="1" r:id="rIdcgiwprezfdwmsjb8ply1w">
        <w:r>
          <w:rPr>
            <w:rStyle w:val="Hyperlink"/>
          </w:rPr>
          <w:t xml:space="preserve">Pikachu Illustrator $16.5m record sale</w:t>
        </w:r>
      </w:hyperlink>
      <w:r>
        <w:t xml:space="preserve">, </w:t>
      </w:r>
      <w:hyperlink w:history="1" r:id="rIdgcebolpqzzff7yiqrq8-n">
        <w:r>
          <w:rPr>
            <w:rStyle w:val="Hyperlink"/>
          </w:rPr>
          <w:t xml:space="preserve">Charizard first-ever $1m+ sale, vintage 3,821% return stat</w:t>
        </w:r>
      </w:hyperlink>
      <w:r>
        <w:t xml:space="preserve">, </w:t>
      </w:r>
      <w:hyperlink w:history="1" r:id="rIdeoaao96ld3fpwzwj_00a0">
        <w:r>
          <w:rPr>
            <w:rStyle w:val="Hyperlink"/>
          </w:rPr>
          <w:t xml:space="preserve">Modern chase cards down 50% from peak</w:t>
        </w:r>
      </w:hyperlink>
    </w:p>
    <w:p>
      <w:pPr>
        <w:pBdr>
          <w:bottom w:val="single" w:color="999999" w:sz="6" w:space="4"/>
        </w:pBdr>
        <w:spacing w:after="200" w:before="200"/>
      </w:pPr>
    </w:p>
    <w:p>
      <w:pPr>
        <w:pStyle w:val="Heading2"/>
        <w:spacing w:after="120" w:before="300"/>
      </w:pPr>
      <w:r>
        <w:t xml:space="preserve">3. Tulip Mania, 1637 — the "original bubble" that mostly wasn't real</w:t>
      </w:r>
    </w:p>
    <w:p>
      <w:pPr>
        <w:spacing w:after="160"/>
        <w:jc w:val="left"/>
      </w:pPr>
      <w:r>
        <w:rPr>
          <w:b/>
          <w:bCs/>
        </w:rPr>
        <w:t xml:space="preserve">The promise (as told for 200 years):</w:t>
      </w:r>
      <w:r>
        <w:t xml:space="preserve"> that 17th-century Holland lost its collective mind over tulip bulbs, with "nobles, citizens, farmers, mechanics, sea-men, footmen, maid-servants, even chimney-sweeps and old clothes-women" trading fortunes for flowers, per Charles Mackay's 1841 bestseller *Extraordinary Popular Delusions and the Madness of Crowds* — the book that basically invented "bubble" as a financial metaphor.</w:t>
      </w:r>
    </w:p>
    <w:p>
      <w:pPr>
        <w:spacing w:after="160"/>
        <w:jc w:val="left"/>
      </w:pPr>
      <w:r>
        <w:rPr>
          <w:b/>
          <w:bCs/>
        </w:rPr>
        <w:t xml:space="preserve">The twist, and why this one's genuinely fun to use:</w:t>
      </w:r>
      <w:r>
        <w:t xml:space="preserve"> modern economic historians have taken this apart. Historian Anne Goldgar's 2007 archival study of actual contracts found the trade was conducted almost exclusively by wealthy merchants and skilled craftsmen — a "fairly small group," not all of Dutch society — and that Mackay's tales of ruined nobles and drowned paupers are "more fiction than fact." Two economic historians, William Quinn and John Turner, went further in their 2020 global history of financial bubbles: they </w:t>
      </w:r>
      <w:r>
        <w:rPr>
          <w:b/>
          <w:bCs/>
        </w:rPr>
        <w:t xml:space="preserve">excluded tulip mania entirely</w:t>
      </w:r>
      <w:r>
        <w:t xml:space="preserve"> because it had "negligible economic impact" and was "too unremarkable to merit inclusion."</w:t>
      </w:r>
    </w:p>
    <w:p>
      <w:pPr>
        <w:spacing w:after="160"/>
        <w:jc w:val="left"/>
      </w:pPr>
      <w:r>
        <w:rPr>
          <w:b/>
          <w:bCs/>
        </w:rPr>
        <w:t xml:space="preserve">The score:</w:t>
      </w:r>
      <w:r>
        <w:t xml:space="preserve"> the "hype" here isn't the tulip market itself — it's the *story about* the tulip market, which was itself wildly oversold by a 19th-century author two centuries after the fact, and has been uncritically repeated ever since (including, until you read this, probably by you). The most interesting hype/fundamentals gap on this whole list might be a gap between a real historical event and its own legend.</w:t>
      </w:r>
    </w:p>
    <w:p>
      <w:pPr>
        <w:spacing w:after="160"/>
        <w:jc w:val="left"/>
      </w:pPr>
      <w:r>
        <w:rPr>
          <w:b/>
          <w:bCs/>
        </w:rPr>
        <w:t xml:space="preserve">Sources:</w:t>
      </w:r>
      <w:r>
        <w:t xml:space="preserve"> </w:t>
      </w:r>
      <w:hyperlink w:history="1" r:id="rIdtwn1brwaq2fji7jput2no">
        <w:r>
          <w:rPr>
            <w:rStyle w:val="Hyperlink"/>
          </w:rPr>
          <w:t xml:space="preserve">Anne Goldgar's archival research debunking the myth</w:t>
        </w:r>
      </w:hyperlink>
      <w:r>
        <w:t xml:space="preserve">, </w:t>
      </w:r>
      <w:hyperlink w:history="1" r:id="rIdr8s179huj9xm0kiio046h">
        <w:r>
          <w:rPr>
            <w:rStyle w:val="Hyperlink"/>
          </w:rPr>
          <w:t xml:space="preserve">Quinn &amp; Turner excluding tulip mania from bubble history</w:t>
        </w:r>
      </w:hyperlink>
      <w:r>
        <w:t xml:space="preserve">, </w:t>
      </w:r>
      <w:hyperlink w:history="1" r:id="rIdbq6gko0ncyi69q4cisyic">
        <w:r>
          <w:rPr>
            <w:rStyle w:val="Hyperlink"/>
          </w:rPr>
          <w:t xml:space="preserve">Mackay's original 1841 quotes</w:t>
        </w:r>
      </w:hyperlink>
    </w:p>
    <w:p>
      <w:pPr>
        <w:pBdr>
          <w:bottom w:val="single" w:color="999999" w:sz="6" w:space="4"/>
        </w:pBdr>
        <w:spacing w:after="200" w:before="200"/>
      </w:pPr>
    </w:p>
    <w:p>
      <w:pPr>
        <w:pStyle w:val="Heading2"/>
        <w:spacing w:after="120" w:before="300"/>
      </w:pPr>
      <w:r>
        <w:t xml:space="preserve">4. NFTs / "Right-Click Save," 2021-2022 — the fastest hype-to-punchline cycle on this list</w:t>
      </w:r>
    </w:p>
    <w:p>
      <w:pPr>
        <w:spacing w:after="160"/>
        <w:jc w:val="left"/>
      </w:pPr>
      <w:r>
        <w:rPr>
          <w:b/>
          <w:bCs/>
        </w:rPr>
        <w:t xml:space="preserve">The promise:</w:t>
      </w:r>
      <w:r>
        <w:t xml:space="preserve"> that a JPEG with a blockchain receipt attached was a genuinely new, ownable, valuable asset class — Bored Ape Yacht Club apes traded for six and seven figures, celebrities bought in publicly, and an entire industry insisted digital scarcity was the future of art and status.</w:t>
      </w:r>
    </w:p>
    <w:p>
      <w:pPr>
        <w:spacing w:after="160"/>
        <w:jc w:val="left"/>
      </w:pPr>
      <w:r>
        <w:rPr>
          <w:b/>
          <w:bCs/>
        </w:rPr>
        <w:t xml:space="preserve">The counter-meme that basically ended it:</w:t>
      </w:r>
      <w:r>
        <w:t xml:space="preserve"> crypto Twitter turned "right click save + flip &gt; right click save" into a running joke in December 2021 — the entire bear case for NFTs compressed into a single sentence: you can just... save the image. One commentator on the meme's spinoff "left-facing ape" derivatives described it as "a satirical take on the current state of NFTs and members of the NFT community who might be taking the NFT market a little too seriously."</w:t>
      </w:r>
    </w:p>
    <w:p>
      <w:pPr>
        <w:spacing w:after="160"/>
        <w:jc w:val="left"/>
      </w:pPr>
      <w:r>
        <w:rPr>
          <w:b/>
          <w:bCs/>
        </w:rPr>
        <w:t xml:space="preserve">The number that closes the argument:</w:t>
      </w:r>
      <w:r>
        <w:t xml:space="preserve"> Justin Bieber bought a Bored Ape NFT for </w:t>
      </w:r>
      <w:r>
        <w:rPr>
          <w:b/>
          <w:bCs/>
        </w:rPr>
        <w:t xml:space="preserve">$1.3 million</w:t>
      </w:r>
      <w:r>
        <w:t xml:space="preserve"> in January 2022. It is now worth roughly </w:t>
      </w:r>
      <w:r>
        <w:rPr>
          <w:b/>
          <w:bCs/>
        </w:rPr>
        <w:t xml:space="preserve">$12,000</w:t>
      </w:r>
      <w:r>
        <w:t xml:space="preserve"> — a decline of more than 99%.</w:t>
      </w:r>
    </w:p>
    <w:p>
      <w:pPr>
        <w:spacing w:after="160"/>
        <w:jc w:val="left"/>
      </w:pPr>
      <w:r>
        <w:rPr>
          <w:b/>
          <w:bCs/>
        </w:rPr>
        <w:t xml:space="preserve">The score:</w:t>
      </w:r>
      <w:r>
        <w:t xml:space="preserve"> hype badly outran fundamentals, and the market itself (via its own meme culture) called it before the price chart did. Worth remembering next time a "you're not laughing when it's you" argument is being made about any hyped asset.</w:t>
      </w:r>
    </w:p>
    <w:p>
      <w:pPr>
        <w:spacing w:after="160"/>
        <w:jc w:val="left"/>
      </w:pPr>
      <w:r>
        <w:rPr>
          <w:b/>
          <w:bCs/>
        </w:rPr>
        <w:t xml:space="preserve">Sources:</w:t>
      </w:r>
      <w:r>
        <w:t xml:space="preserve"> </w:t>
      </w:r>
      <w:hyperlink w:history="1" r:id="rIdzvditm5yjs-d-jvhachfr">
        <w:r>
          <w:rPr>
            <w:rStyle w:val="Hyperlink"/>
          </w:rPr>
          <w:t xml:space="preserve">Justin Bieber's BAYC NFT down 99%+</w:t>
        </w:r>
      </w:hyperlink>
      <w:r>
        <w:t xml:space="preserve">, </w:t>
      </w:r>
      <w:hyperlink w:history="1" r:id="rIdktre0xred-kax6rgcnzvh">
        <w:r>
          <w:rPr>
            <w:rStyle w:val="Hyperlink"/>
          </w:rPr>
          <w:t xml:space="preserve">"right click save" meme origin</w:t>
        </w:r>
      </w:hyperlink>
    </w:p>
    <w:p>
      <w:pPr>
        <w:pBdr>
          <w:bottom w:val="single" w:color="999999" w:sz="6" w:space="4"/>
        </w:pBdr>
        <w:spacing w:after="200" w:before="200"/>
      </w:pPr>
    </w:p>
    <w:p>
      <w:pPr>
        <w:pStyle w:val="Heading2"/>
        <w:spacing w:after="120" w:before="300"/>
      </w:pPr>
      <w:r>
        <w:t xml:space="preserve">5. The Metaverse, 2021-2026 — a Fortune-500 rebrand that quietly got switched off</w:t>
      </w:r>
    </w:p>
    <w:p>
      <w:pPr>
        <w:spacing w:after="160"/>
        <w:jc w:val="left"/>
      </w:pPr>
      <w:r>
        <w:rPr>
          <w:b/>
          <w:bCs/>
        </w:rPr>
        <w:t xml:space="preserve">The promise:</w:t>
      </w:r>
      <w:r>
        <w:t xml:space="preserve"> in October 2021, Mark Zuckerberg renamed his entire company Meta and called the metaverse "the next frontier," predicting it would reach a billion people and host hundreds of billions of dollars in digital commerce, framing it as the literal "successor to the mobile internet." His own words, from a 2021 interview: *"Teleporting around the metaverse is going to be like clicking a link on the internet."*</w:t>
      </w:r>
    </w:p>
    <w:p>
      <w:pPr>
        <w:spacing w:after="160"/>
        <w:jc w:val="left"/>
      </w:pPr>
      <w:r>
        <w:rPr>
          <w:b/>
          <w:bCs/>
        </w:rPr>
        <w:t xml:space="preserve">What actually happened:</w:t>
      </w:r>
      <w:r>
        <w:t xml:space="preserve"> Reality Labs, the division built to deliver this, has racked up </w:t>
      </w:r>
      <w:r>
        <w:rPr>
          <w:b/>
          <w:bCs/>
        </w:rPr>
        <w:t xml:space="preserve">over $80 billion in cumulative operating losses</w:t>
      </w:r>
      <w:r>
        <w:t xml:space="preserve"> since late 2020 — including $6.02bn lost in Q4 2025 alone against just $955m of revenue. And then, quietly, the actual VR product the whole rebrand was built around: Meta announced Horizon Worlds would be pulled from Quest headsets on 15 June 2026. Zuckerberg's own summary, on scaling the whole bet back: *"Sometimes... we get things wrong."*</w:t>
      </w:r>
    </w:p>
    <w:p>
      <w:pPr>
        <w:spacing w:after="160"/>
        <w:jc w:val="left"/>
      </w:pPr>
      <w:r>
        <w:rPr>
          <w:b/>
          <w:bCs/>
        </w:rPr>
        <w:t xml:space="preserve">The tell that says everything:</w:t>
      </w:r>
      <w:r>
        <w:t xml:space="preserve"> Meta's own stock </w:t>
      </w:r>
      <w:r>
        <w:rPr>
          <w:b/>
          <w:bCs/>
        </w:rPr>
        <w:t xml:space="preserve">jumped over 4%, adding roughly $69 billion in market value</w:t>
      </w:r>
      <w:r>
        <w:t xml:space="preserve">, on the news that they were *cutting back* the metaverse budget — the market cheering the retreat from the vision more than it ever cheered the vision itself.</w:t>
      </w:r>
    </w:p>
    <w:p>
      <w:pPr>
        <w:spacing w:after="160"/>
        <w:jc w:val="left"/>
      </w:pPr>
      <w:r>
        <w:rPr>
          <w:b/>
          <w:bCs/>
        </w:rPr>
        <w:t xml:space="preserve">Score:</w:t>
      </w:r>
      <w:r>
        <w:t xml:space="preserve"> hype ran enormously ahead of what got delivered — an entire company rename, a "successor to the internet" prediction, four-plus years and $80bn+, for a product that's now being switched off, with investors visibly relieved to see it scaled back.</w:t>
      </w:r>
    </w:p>
    <w:p>
      <w:pPr>
        <w:spacing w:after="160"/>
        <w:jc w:val="left"/>
      </w:pPr>
      <w:r>
        <w:rPr>
          <w:b/>
          <w:bCs/>
        </w:rPr>
        <w:t xml:space="preserve">Sources:</w:t>
      </w:r>
      <w:r>
        <w:t xml:space="preserve"> </w:t>
      </w:r>
      <w:hyperlink w:history="1" r:id="rIdc-_x-_7k0i4hh5vs4ytwt">
        <w:r>
          <w:rPr>
            <w:rStyle w:val="Hyperlink"/>
          </w:rPr>
          <w:t xml:space="preserve">Meta's $80bn+ Reality Labs losses and Horizon Worlds shutdown</w:t>
        </w:r>
      </w:hyperlink>
      <w:r>
        <w:t xml:space="preserve">, </w:t>
      </w:r>
      <w:hyperlink w:history="1" r:id="rIdy6oljbec2suhlxrjdk-9o">
        <w:r>
          <w:rPr>
            <w:rStyle w:val="Hyperlink"/>
          </w:rPr>
          <w:t xml:space="preserve">Zuckerberg's original 2021 metaverse framing and "teleporting" quote</w:t>
        </w:r>
      </w:hyperlink>
      <w:r>
        <w:t xml:space="preserve">, </w:t>
      </w:r>
      <w:hyperlink w:history="1" r:id="rIdsgiql9zfs--f0snyrjbav">
        <w:r>
          <w:rPr>
            <w:rStyle w:val="Hyperlink"/>
          </w:rPr>
          <w:t xml:space="preserve">Market's positive reaction to budget cuts</w:t>
        </w:r>
      </w:hyperlink>
    </w:p>
    <w:p>
      <w:pPr>
        <w:pBdr>
          <w:bottom w:val="single" w:color="999999" w:sz="6" w:space="4"/>
        </w:pBdr>
        <w:spacing w:after="200" w:before="200"/>
      </w:pPr>
    </w:p>
    <w:p>
      <w:pPr>
        <w:pStyle w:val="Heading2"/>
        <w:spacing w:after="120" w:before="300"/>
      </w:pPr>
      <w:r>
        <w:t xml:space="preserve">6. Nikola and the EV-SPAC boom, 2020 — hype that turned out to be a literal downhill roll</w:t>
      </w:r>
    </w:p>
    <w:p>
      <w:pPr>
        <w:spacing w:after="160"/>
        <w:jc w:val="left"/>
      </w:pPr>
      <w:r>
        <w:rPr>
          <w:b/>
          <w:bCs/>
        </w:rPr>
        <w:t xml:space="preserve">The promise:</w:t>
      </w:r>
      <w:r>
        <w:t xml:space="preserve"> Nikola, an electric/hydrogen truck startup with no product actually in production, merged via SPAC in June 2020 at a </w:t>
      </w:r>
      <w:r>
        <w:rPr>
          <w:b/>
          <w:bCs/>
        </w:rPr>
        <w:t xml:space="preserve">$29 billion valuation</w:t>
      </w:r>
      <w:r>
        <w:t xml:space="preserve"> — briefly worth more than Ford — on the strength of founder Trevor Milton's claims about zero-emission trucking's future.</w:t>
      </w:r>
    </w:p>
    <w:p>
      <w:pPr>
        <w:spacing w:after="160"/>
        <w:jc w:val="left"/>
      </w:pPr>
      <w:r>
        <w:rPr>
          <w:b/>
          <w:bCs/>
        </w:rPr>
        <w:t xml:space="preserve">The single most quotable fraud in recent business history:</w:t>
      </w:r>
      <w:r>
        <w:t xml:space="preserve"> Nikola released a 2018 promotional video showing its "Nikola One" truck driving powerfully along a desert highway. Hindenburg Research's investigation found the truck </w:t>
      </w:r>
      <w:r>
        <w:rPr>
          <w:b/>
          <w:bCs/>
        </w:rPr>
        <w:t xml:space="preserve">wasn't moving under its own power at all</w:t>
      </w:r>
      <w:r>
        <w:t xml:space="preserve"> — it had been towed to the top of a hill and filmed rolling down it under gravity. Hindenburg's report called the whole company "an intricate fraud," built on "an ocean of lies," including literally stencilling the words "hydrogen electric" onto a truck that actually ran on natural gas.</w:t>
      </w:r>
    </w:p>
    <w:p>
      <w:pPr>
        <w:spacing w:after="160"/>
        <w:jc w:val="left"/>
      </w:pPr>
      <w:r>
        <w:rPr>
          <w:b/>
          <w:bCs/>
        </w:rPr>
        <w:t xml:space="preserve">The resolution:</w:t>
      </w:r>
      <w:r>
        <w:t xml:space="preserve"> Trevor Milton was convicted on three counts of criminal securities fraud and sentenced to four years in prison in December 2023, for lying about, in the court's words, "nearly all aspects of the business."</w:t>
      </w:r>
    </w:p>
    <w:p>
      <w:pPr>
        <w:spacing w:after="160"/>
        <w:jc w:val="left"/>
      </w:pPr>
      <w:r>
        <w:rPr>
          <w:b/>
          <w:bCs/>
        </w:rPr>
        <w:t xml:space="preserve">Score:</w:t>
      </w:r>
      <w:r>
        <w:t xml:space="preserve"> about as close to zero as hype-to-fundamentals gets — not just overpromised, but criminally fabricated, with a literal downhill-rolling truck as the visual metaphor investing history didn't know it needed.</w:t>
      </w:r>
    </w:p>
    <w:p>
      <w:pPr>
        <w:spacing w:after="160"/>
        <w:jc w:val="left"/>
      </w:pPr>
      <w:r>
        <w:rPr>
          <w:b/>
          <w:bCs/>
        </w:rPr>
        <w:t xml:space="preserve">Sources:</w:t>
      </w:r>
      <w:r>
        <w:t xml:space="preserve"> </w:t>
      </w:r>
      <w:hyperlink w:history="1" r:id="rId23grllq9x8hpoua4m8l79">
        <w:r>
          <w:rPr>
            <w:rStyle w:val="Hyperlink"/>
          </w:rPr>
          <w:t xml:space="preserve">Hindenburg Research's investigation and the rolling-truck video</w:t>
        </w:r>
      </w:hyperlink>
      <w:r>
        <w:t xml:space="preserve">, </w:t>
      </w:r>
      <w:hyperlink w:history="1" r:id="rIdvyri5ykimriih_heersoc">
        <w:r>
          <w:rPr>
            <w:rStyle w:val="Hyperlink"/>
          </w:rPr>
          <w:t xml:space="preserve">Trevor Milton's conviction and sentencing</w:t>
        </w:r>
      </w:hyperlink>
      <w:r>
        <w:t xml:space="preserve">, </w:t>
      </w:r>
      <w:hyperlink w:history="1" r:id="rId6mar0zo_hnrbjnydxescb">
        <w:r>
          <w:rPr>
            <w:rStyle w:val="Hyperlink"/>
          </w:rPr>
          <w:t xml:space="preserve">$29bn SPAC valuation</w:t>
        </w:r>
      </w:hyperlink>
    </w:p>
    <w:p>
      <w:pPr>
        <w:pBdr>
          <w:bottom w:val="single" w:color="999999" w:sz="6" w:space="4"/>
        </w:pBdr>
        <w:spacing w:after="200" w:before="200"/>
      </w:pPr>
    </w:p>
    <w:p>
      <w:pPr>
        <w:pStyle w:val="Heading2"/>
        <w:spacing w:after="120" w:before="300"/>
      </w:pPr>
      <w:r>
        <w:t xml:space="preserve">7. The 3D-Printing Bubble, 2013-2014 — the niche one nobody talks about anymore</w:t>
      </w:r>
    </w:p>
    <w:p>
      <w:pPr>
        <w:spacing w:after="160"/>
        <w:jc w:val="left"/>
      </w:pPr>
      <w:r>
        <w:rPr>
          <w:b/>
          <w:bCs/>
        </w:rPr>
        <w:t xml:space="preserve">The promise:</w:t>
      </w:r>
      <w:r>
        <w:t xml:space="preserve"> that 3D printing would, in the words commonly repeated at the time, "change everything," with some commentators seriously arguing 3D Systems was a better long-term investment than Facebook or Apple. Stratasys stock rose 333% and 3D Systems rose </w:t>
      </w:r>
      <w:r>
        <w:rPr>
          <w:b/>
          <w:bCs/>
        </w:rPr>
        <w:t xml:space="preserve">800%</w:t>
      </w:r>
      <w:r>
        <w:t xml:space="preserve"> in the two years through 2013 — pure story-driven multiple expansion on the idea of home manufacturing going mainstream.</w:t>
      </w:r>
    </w:p>
    <w:p>
      <w:pPr>
        <w:spacing w:after="160"/>
        <w:jc w:val="left"/>
      </w:pPr>
      <w:r>
        <w:rPr>
          <w:b/>
          <w:bCs/>
        </w:rPr>
        <w:t xml:space="preserve">What actually happened:</w:t>
      </w:r>
      <w:r>
        <w:t xml:space="preserve"> in 2014, both stocks crashed on disappointing consumer sales guidance. Over the following two years, 3D Systems lost </w:t>
      </w:r>
      <w:r>
        <w:rPr>
          <w:b/>
          <w:bCs/>
        </w:rPr>
        <w:t xml:space="preserve">more than 92%</w:t>
      </w:r>
      <w:r>
        <w:t xml:space="preserve"> of its value and Stratasys lost over 86% — with the broader group (Stratasys, 3D Systems, ExOne, VoxelJet) down 71-80% within just 17 months of the peak.</w:t>
      </w:r>
    </w:p>
    <w:p>
      <w:pPr>
        <w:spacing w:after="160"/>
        <w:jc w:val="left"/>
      </w:pPr>
      <w:r>
        <w:rPr>
          <w:b/>
          <w:bCs/>
        </w:rPr>
        <w:t xml:space="preserve">Why this one belongs on your list specifically:</w:t>
      </w:r>
      <w:r>
        <w:t xml:space="preserve"> it's the "niche" hype cycle almost nobody remembers now, precisely because it never became a generation-defining cultural reference point the way dot-com or crypto did — which makes it a genuinely useful reminder that hype cycles don't have to be huge or famous to be complete, and that "everyone forgot about it" is itself informative about how it resolved.</w:t>
      </w:r>
    </w:p>
    <w:p>
      <w:pPr>
        <w:spacing w:after="160"/>
        <w:jc w:val="left"/>
      </w:pPr>
      <w:r>
        <w:rPr>
          <w:b/>
          <w:bCs/>
        </w:rPr>
        <w:t xml:space="preserve">Score:</w:t>
      </w:r>
      <w:r>
        <w:t xml:space="preserve"> hype ran miles ahead of near-term reality — the underlying technology was real and useful, but nowhere near the "everything will be 3D printed" timeline the stock prices implied, and the crash was proportionally one of the more severe on this entire list.</w:t>
      </w:r>
    </w:p>
    <w:p>
      <w:pPr>
        <w:spacing w:after="160"/>
        <w:jc w:val="left"/>
      </w:pPr>
      <w:r>
        <w:rPr>
          <w:b/>
          <w:bCs/>
        </w:rPr>
        <w:t xml:space="preserve">Sources:</w:t>
      </w:r>
      <w:r>
        <w:t xml:space="preserve"> </w:t>
      </w:r>
      <w:hyperlink w:history="1" r:id="rIdzvsmvmklb1joygdvmne1a">
        <w:r>
          <w:rPr>
            <w:rStyle w:val="Hyperlink"/>
          </w:rPr>
          <w:t xml:space="preserve">Stratasys/3D Systems 2013 run-up and "better than Facebook or Apple" commentary</w:t>
        </w:r>
      </w:hyperlink>
      <w:r>
        <w:t xml:space="preserve">, </w:t>
      </w:r>
      <w:hyperlink w:history="1" r:id="rId8lajrv3ucdr68vo9qu6l5">
        <w:r>
          <w:rPr>
            <w:rStyle w:val="Hyperlink"/>
          </w:rPr>
          <w:t xml:space="preserve">The 2014 crash and 92%/86% declines</w:t>
        </w:r>
      </w:hyperlink>
      <w:r>
        <w:t xml:space="preserve">, </w:t>
      </w:r>
      <w:hyperlink w:history="1" r:id="rId-bjxm01yfyqpzirnfk9x4">
        <w:r>
          <w:rPr>
            <w:rStyle w:val="Hyperlink"/>
          </w:rPr>
          <w:t xml:space="preserve">CNBC on the bubble bursting</w:t>
        </w:r>
      </w:hyperlink>
    </w:p>
    <w:p>
      <w:pPr>
        <w:pBdr>
          <w:bottom w:val="single" w:color="999999" w:sz="6" w:space="4"/>
        </w:pBdr>
        <w:spacing w:after="200" w:before="200"/>
      </w:pPr>
    </w:p>
    <w:p>
      <w:pPr>
        <w:pStyle w:val="Heading2"/>
        <w:spacing w:after="120" w:before="300"/>
      </w:pPr>
      <w:r>
        <w:t xml:space="preserve">8. Quantum Computing, 2024-2026 — CURRENT, and the valuation math is almost cartoonish</w:t>
      </w:r>
    </w:p>
    <w:p>
      <w:pPr>
        <w:spacing w:after="160"/>
        <w:jc w:val="left"/>
      </w:pPr>
      <w:r>
        <w:rPr>
          <w:b/>
          <w:bCs/>
        </w:rPr>
        <w:t xml:space="preserve">The promise:</w:t>
      </w:r>
      <w:r>
        <w:t xml:space="preserve"> that quantum computing is close enough to commercial relevance to justify today's prices — IonQ up 521%, Rigetti up </w:t>
      </w:r>
      <w:r>
        <w:rPr>
          <w:b/>
          <w:bCs/>
        </w:rPr>
        <w:t xml:space="preserve">3,270%</w:t>
      </w:r>
      <w:r>
        <w:t xml:space="preserve">, D-Wave up </w:t>
      </w:r>
      <w:r>
        <w:rPr>
          <w:b/>
          <w:bCs/>
        </w:rPr>
        <w:t xml:space="preserve">3,290%</w:t>
      </w:r>
      <w:r>
        <w:t xml:space="preserve"> since October 2024.</w:t>
      </w:r>
    </w:p>
    <w:p>
      <w:pPr>
        <w:spacing w:after="160"/>
        <w:jc w:val="left"/>
      </w:pPr>
      <w:r>
        <w:rPr>
          <w:b/>
          <w:bCs/>
        </w:rPr>
        <w:t xml:space="preserve">The number that should stop you cold:</w:t>
      </w:r>
      <w:r>
        <w:t xml:space="preserve"> as of May 2026, IonQ, Rigetti, and D-Wave trade at price-to-sales ratios of 109x, 836x, and 791x respectively. For context the Motley Fool's own framing offers: a P/S ratio of 30 for a company at the frontier of a genuinely game-changing trend has historically proven unsustainable — these three are running at up to 25 times that already-aggressive threshold.</w:t>
      </w:r>
    </w:p>
    <w:p>
      <w:pPr>
        <w:spacing w:after="160"/>
        <w:jc w:val="left"/>
      </w:pPr>
      <w:r>
        <w:rPr>
          <w:b/>
          <w:bCs/>
        </w:rPr>
        <w:t xml:space="preserve">The red flag that's easy to miss under the excitement:</w:t>
      </w:r>
      <w:r>
        <w:t xml:space="preserve"> insiders at these three companies have been </w:t>
      </w:r>
      <w:r>
        <w:rPr>
          <w:b/>
          <w:bCs/>
        </w:rPr>
        <w:t xml:space="preserve">net sellers of roughly $931 million</w:t>
      </w:r>
      <w:r>
        <w:t xml:space="preserve"> more in stock than they've purchased over the trailing five years — the people who know the technology best have been consistently reducing their own exposure while retail enthusiasm has driven the share prices up.</w:t>
      </w:r>
    </w:p>
    <w:p>
      <w:pPr>
        <w:spacing w:after="160"/>
        <w:jc w:val="left"/>
      </w:pPr>
      <w:r>
        <w:rPr>
          <w:b/>
          <w:bCs/>
        </w:rPr>
        <w:t xml:space="preserve">Score:</w:t>
      </w:r>
      <w:r>
        <w:t xml:space="preserve"> genuinely can't be given yet — commercially useful, fault-tolerant quantum computers don't exist. But the valuation math here is the most extreme on this entire list, and "every game-changing technology of the last three decades has also endured a bubble-bursting event early in its expansion" (the Fool's own words) is as close to a pattern-based warning as this list gets.</w:t>
      </w:r>
    </w:p>
    <w:p>
      <w:pPr>
        <w:spacing w:after="160"/>
        <w:jc w:val="left"/>
      </w:pPr>
      <w:r>
        <w:rPr>
          <w:b/>
          <w:bCs/>
        </w:rPr>
        <w:t xml:space="preserve">Sources:</w:t>
      </w:r>
      <w:r>
        <w:t xml:space="preserve"> </w:t>
      </w:r>
      <w:hyperlink w:history="1" r:id="rIdfyaupd_42ymb98rwjouvc">
        <w:r>
          <w:rPr>
            <w:rStyle w:val="Hyperlink"/>
          </w:rPr>
          <w:t xml:space="preserve">IonQ/Rigetti/D-Wave valuation and insider-selling data</w:t>
        </w:r>
      </w:hyperlink>
      <w:r>
        <w:t xml:space="preserve">, </w:t>
      </w:r>
      <w:hyperlink w:history="1" r:id="rIds7nl5rnyiexynhefpppbd">
        <w:r>
          <w:rPr>
            <w:rStyle w:val="Hyperlink"/>
          </w:rPr>
          <w:t xml:space="preserve">Historical pattern of tech-bubble bursts</w:t>
        </w:r>
      </w:hyperlink>
    </w:p>
    <w:p>
      <w:pPr>
        <w:pBdr>
          <w:bottom w:val="single" w:color="999999" w:sz="6" w:space="4"/>
        </w:pBdr>
        <w:spacing w:after="200" w:before="200"/>
      </w:pPr>
    </w:p>
    <w:p>
      <w:pPr>
        <w:pStyle w:val="Heading2"/>
        <w:spacing w:after="120" w:before="300"/>
      </w:pPr>
      <w:r>
        <w:t xml:space="preserve">9. The Dot-Com Bubble, 1998-2002 — the one every other hype cycle gets compared to</w:t>
      </w:r>
    </w:p>
    <w:p>
      <w:pPr>
        <w:spacing w:after="160"/>
        <w:jc w:val="left"/>
      </w:pPr>
      <w:r>
        <w:rPr>
          <w:b/>
          <w:bCs/>
        </w:rPr>
        <w:t xml:space="preserve">The promise:</w:t>
      </w:r>
      <w:r>
        <w:t xml:space="preserve"> that the internet would restructure the entire economy overnight, justifying valuations on companies with no path to profit, on the sheer size of the future addressable market.</w:t>
      </w:r>
    </w:p>
    <w:p>
      <w:pPr>
        <w:spacing w:after="160"/>
        <w:jc w:val="left"/>
      </w:pPr>
      <w:r>
        <w:rPr>
          <w:b/>
          <w:bCs/>
        </w:rPr>
        <w:t xml:space="preserve">How directly it's still being invoked today, right now, in 2026:</w:t>
      </w:r>
      <w:r>
        <w:t xml:space="preserve"> Michael Burry's AI-bubble warning above is literally framed as "yet another way in which 2026 is looking like 1999" — a live, contemporary comparison, not a history-textbook one. Cisco — the "picks and shovels" infrastructure play of that era — ran up over 600% to its dot-com peak and then took roughly </w:t>
      </w:r>
      <w:r>
        <w:rPr>
          <w:b/>
          <w:bCs/>
        </w:rPr>
        <w:t xml:space="preserve">25 years</w:t>
      </w:r>
      <w:r>
        <w:t xml:space="preserve"> just to reclaim that same price level.</w:t>
      </w:r>
    </w:p>
    <w:p>
      <w:pPr>
        <w:spacing w:after="160"/>
        <w:jc w:val="left"/>
      </w:pPr>
      <w:r>
        <w:rPr>
          <w:b/>
          <w:bCs/>
        </w:rPr>
        <w:t xml:space="preserve">Score:</w:t>
      </w:r>
      <w:r>
        <w:t xml:space="preserve"> hype ran far ahead of fundamentals for the vast majority of individual dot-com names (most of which simply vanished), while the *sector-level* thesis (the internet really did restructure the economy) turned out to be broadly correct over a much longer timeline than the bubble-era stock prices assumed. Both things were true at once — which is exactly the split-outcome pattern to watch for in every "unresolved" case above.</w:t>
      </w:r>
    </w:p>
    <w:p>
      <w:pPr>
        <w:spacing w:after="160"/>
        <w:jc w:val="left"/>
      </w:pPr>
      <w:r>
        <w:rPr>
          <w:b/>
          <w:bCs/>
        </w:rPr>
        <w:t xml:space="preserve">Sources:</w:t>
      </w:r>
      <w:r>
        <w:t xml:space="preserve"> </w:t>
      </w:r>
      <w:hyperlink w:history="1" r:id="rIdjktldjude1z7xqtuslihg">
        <w:r>
          <w:rPr>
            <w:rStyle w:val="Hyperlink"/>
          </w:rPr>
          <w:t xml:space="preserve">"yet another way 2026 is looking like 1999" framing</w:t>
        </w:r>
      </w:hyperlink>
      <w:r>
        <w:t xml:space="preserve">, Cisco's 25-year round trip (previously verified on this site's own Hype vs Fundamentals module)</w:t>
      </w:r>
    </w:p>
    <w:p>
      <w:pPr>
        <w:pBdr>
          <w:bottom w:val="single" w:color="999999" w:sz="6" w:space="4"/>
        </w:pBdr>
        <w:spacing w:after="200" w:before="200"/>
      </w:pPr>
    </w:p>
    <w:p>
      <w:pPr>
        <w:pStyle w:val="Heading2"/>
        <w:spacing w:after="120" w:before="300"/>
      </w:pPr>
      <w:r>
        <w:t xml:space="preserve">10. The Meme Stock Mania, 2021 — retail investors vs. Wall Street, mechanically</w:t>
      </w:r>
    </w:p>
    <w:p>
      <w:pPr>
        <w:spacing w:after="160"/>
        <w:jc w:val="left"/>
      </w:pPr>
      <w:r>
        <w:rPr>
          <w:b/>
          <w:bCs/>
        </w:rPr>
        <w:t xml:space="preserve">The promise:</w:t>
      </w:r>
      <w:r>
        <w:t xml:space="preserve"> that coordinated retail buying on Reddit could permanently break the "smart money always wins" assumption, by squeezing hedge funds who'd bet heavily against GameStop and AMC.</w:t>
      </w:r>
    </w:p>
    <w:p>
      <w:pPr>
        <w:spacing w:after="160"/>
        <w:jc w:val="left"/>
      </w:pPr>
      <w:r>
        <w:rPr>
          <w:b/>
          <w:bCs/>
        </w:rPr>
        <w:t xml:space="preserve">What the numbers actually did:</w:t>
      </w:r>
      <w:r>
        <w:t xml:space="preserve"> GameStop ran up thousands of percent to its January 2021 peak; AMC ran up over 1,200%. Both have since given back the overwhelming majority of those gains — GameStop sits roughly 73% below its era peak, AMC effectively back near zero relative to its own high.</w:t>
      </w:r>
    </w:p>
    <w:p>
      <w:pPr>
        <w:spacing w:after="160"/>
        <w:jc w:val="left"/>
      </w:pPr>
      <w:r>
        <w:rPr>
          <w:b/>
          <w:bCs/>
        </w:rPr>
        <w:t xml:space="preserve">Score:</w:t>
      </w:r>
      <w:r>
        <w:t xml:space="preserve"> as a trading phenomenon, hype (momentum + social coordination) massively outran any conceivable fundamental justification, and mean-reverted hard, exactly as this site's own Hype vs Fundamentals module already documents in detail. But per CNBC's own five-year retrospective, the lasting legacy isn't the stock prices — it's that retail investors permanently established themselves as a force Wall Street has to account for, a structural change that outlived the specific trade.</w:t>
      </w:r>
    </w:p>
    <w:p>
      <w:pPr>
        <w:spacing w:after="160"/>
        <w:jc w:val="left"/>
      </w:pPr>
      <w:r>
        <w:rPr>
          <w:b/>
          <w:bCs/>
        </w:rPr>
        <w:t xml:space="preserve">Sources:</w:t>
      </w:r>
      <w:r>
        <w:t xml:space="preserve"> already verified in depth on this site's </w:t>
      </w:r>
      <w:hyperlink w:history="1" r:id="rIdsdkorpr4blxnhdjuqndkg">
        <w:r>
          <w:rPr>
            <w:rStyle w:val="Hyperlink"/>
          </w:rPr>
          <w:t xml:space="preserve">Hype vs Fundamentals</w:t>
        </w:r>
      </w:hyperlink>
      <w:r>
        <w:t xml:space="preserve"> module — see the Meme Stock Mania case there for the full run-up/drawdown numbers and sourced retrospective coverage.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04"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tr_rue3eqreewedghpzd" Type="http://schemas.openxmlformats.org/officeDocument/2006/relationships/hyperlink" Target="https://www.nbim.no/en/investments/investment-strategy/" TargetMode="External"/><Relationship Id="rIdy04pgeoy6lwilqd0y_h2v" Type="http://schemas.openxmlformats.org/officeDocument/2006/relationships/hyperlink" Target="https://www.nbim.no/en/responsible-investment/2030-climate-action-plan/" TargetMode="External"/><Relationship Id="rIdcuklik6467zahhxyuuvn8" Type="http://schemas.openxmlformats.org/officeDocument/2006/relationships/hyperlink" Target="https://www.nbim.no/en/responsible-investment/our-expectations/" TargetMode="External"/><Relationship Id="rId-o4pcwfh1pnbtimbhvsrg" Type="http://schemas.openxmlformats.org/officeDocument/2006/relationships/hyperlink" Target="/profile" TargetMode="External"/><Relationship Id="rIdjam2nl02k2pwzgrkwnzxu" Type="http://schemas.openxmlformats.org/officeDocument/2006/relationships/hyperlink" Target="/templates" TargetMode="External"/><Relationship Id="rId1j-tkp20ox4unkr-vmxol" Type="http://schemas.openxmlformats.org/officeDocument/2006/relationships/hyperlink" Target="/templates" TargetMode="External"/><Relationship Id="rIdcgbbpiglrv9nthvtucuw9" Type="http://schemas.openxmlformats.org/officeDocument/2006/relationships/hyperlink" Target="/templates" TargetMode="External"/><Relationship Id="rId8ebbqzv8mmficp4ogtqoe" Type="http://schemas.openxmlformats.org/officeDocument/2006/relationships/hyperlink" Target="/templates" TargetMode="External"/><Relationship Id="rIdlh4ec_tlhxgyfh2_f98ob" Type="http://schemas.openxmlformats.org/officeDocument/2006/relationships/hyperlink" Target="https://www.nbim.no/en/responsible-investment/our-expectations/" TargetMode="External"/><Relationship Id="rIdgclf4joz01dgokyyyhovm" Type="http://schemas.openxmlformats.org/officeDocument/2006/relationships/hyperlink" Target="https://www.tipranks.com/news/company-announcements/diploma-plc-expands-with-strategic-acquisition" TargetMode="External"/><Relationship Id="rIdey_anpcwcgi2yxd-pmi2t" Type="http://schemas.openxmlformats.org/officeDocument/2006/relationships/hyperlink" Target="https://www.investing.com/equities/diploma--plc" TargetMode="External"/><Relationship Id="rIdvcvxvrmffbb-x4qkigxot" Type="http://schemas.openxmlformats.org/officeDocument/2006/relationships/hyperlink" Target="https://www.tipranks.com/news/global-markets/uk-stocks-diploma-dplm-shares-rally-on-peerless-acquisition" TargetMode="External"/><Relationship Id="rId-37r0vnodkbolvql3o4cz" Type="http://schemas.openxmlformats.org/officeDocument/2006/relationships/hyperlink" Target="https://nintendoeverything.com/nintendo-financial-results-may-2026-switch-2-at-19-86-million-units-switch-at-155-92-million-more/" TargetMode="External"/><Relationship Id="rIdamg4dzz95ecuqeb28n7ks" Type="http://schemas.openxmlformats.org/officeDocument/2006/relationships/hyperlink" Target="https://gamerant.com/pokemon-2026-highest-sales-ever/" TargetMode="External"/><Relationship Id="rIdupmpwvaznhro512u7tqy7" Type="http://schemas.openxmlformats.org/officeDocument/2006/relationships/hyperlink" Target="https://www.cnbc.com/2026/05/11/nintendo-stock-switch-2-price-rise-weak-sales-forecast.html" TargetMode="External"/><Relationship Id="rIdauzfy1dnitsmyf3o8f2hr" Type="http://schemas.openxmlformats.org/officeDocument/2006/relationships/hyperlink" Target="https://gamerant.com/nintendo-stock-price-down-why-february-2026/" TargetMode="External"/><Relationship Id="rIdla9zimhcirj7wuwhjvdlq" Type="http://schemas.openxmlformats.org/officeDocument/2006/relationships/hyperlink" Target="https://legalclarity.org/who-owns-pokemon-nintendo-game-freak-creatures/" TargetMode="External"/><Relationship Id="rIdz_iz8ltkfayqy4q6qp8v4" Type="http://schemas.openxmlformats.org/officeDocument/2006/relationships/hyperlink" Target="https://www.kalkine.com/news/artificial-intelligence/microsoft-stock-msft-analysis-2026-azure-acceleration-copilot-scale-and-the-190b-capex-question" TargetMode="External"/><Relationship Id="rIdmkosa4uaa9kswm-ppcju2" Type="http://schemas.openxmlformats.org/officeDocument/2006/relationships/hyperlink" Target="https://www.vaasblock.com/research/microsoft-copilot-monetization-capex-return-timeline-2026/" TargetMode="External"/><Relationship Id="rIdcyglvgzxqpvs79lt5m4hk" Type="http://schemas.openxmlformats.org/officeDocument/2006/relationships/hyperlink" Target="https://www.stocktitan.net/sec-filings/BTI/6-k-british-american-tobacco-p-l-c-current-report-foreign-issuer-65bb444665c2.html" TargetMode="External"/><Relationship Id="rIdfbx8ndvzlxakrhjztvwmx" Type="http://schemas.openxmlformats.org/officeDocument/2006/relationships/hyperlink" Target="https://www.bat.com/media/press-releases/_2026/february/preliminary-results-for-the-year-ended-31-december-2025" TargetMode="External"/><Relationship Id="rIdqpromfjmotd32jnqnqivj" Type="http://schemas.openxmlformats.org/officeDocument/2006/relationships/hyperlink" Target="https://www.nbim.no/en/responsible-investment/our-expectations/" TargetMode="External"/><Relationship Id="rIdbszc_tcdkxn4ydvwgrfg_" Type="http://schemas.openxmlformats.org/officeDocument/2006/relationships/hyperlink" Target="https://kalkine.co.uk/news/industrials/bae-systems-in-2026-how-a-record-836bn-order-backlog-is-reshaping-a-ftse-100-defence-giant" TargetMode="External"/><Relationship Id="rIdpi6thca-mclhdzf8ekxoi" Type="http://schemas.openxmlformats.org/officeDocument/2006/relationships/hyperlink" Target="https://www.cnbc.com/2026/02/18/bae-systems-defense-spending-europe-military-geopolitics-weapons.html" TargetMode="External"/><Relationship Id="rIdakfassg0wrsszgeghngvq" Type="http://schemas.openxmlformats.org/officeDocument/2006/relationships/hyperlink" Target="https://thedefensepost.com/2026/02/19/bae-systems-backlog-profit/" TargetMode="External"/><Relationship Id="rIdjcbqruoxbqad4z5uezvcv" Type="http://schemas.openxmlformats.org/officeDocument/2006/relationships/hyperlink" Target="https://marketwise.com/investing/asml-earnings-china-export-restrictions-ai-chip-demand/" TargetMode="External"/><Relationship Id="rIdpho3jzdaq6vewarbu-pld" Type="http://schemas.openxmlformats.org/officeDocument/2006/relationships/hyperlink" Target="https://www.heygotrade.com/en/blog/asml-investment-case-euv-monopoly-semi-capex/" TargetMode="External"/><Relationship Id="rIdnzjmva6dp44jwpp-pp6cm" Type="http://schemas.openxmlformats.org/officeDocument/2006/relationships/hyperlink" Target="https://techcrunch.com/2026/06/19/the-us-says-asmls-top-chip-tool-may-be-in-china-asml-says-it-isnt/" TargetMode="External"/><Relationship Id="rIdwl27da-nanskqhqmkm3kt" Type="http://schemas.openxmlformats.org/officeDocument/2006/relationships/hyperlink" Target="https://www.maritimenews.com/red-sea/maersk-return-red-sea-carrier-shift" TargetMode="External"/><Relationship Id="rIdwtjn66tpiod53_qc3thi7" Type="http://schemas.openxmlformats.org/officeDocument/2006/relationships/hyperlink" Target="https://suaidglobal.com/insights/red-sea-shipping-crisis-2026/" TargetMode="External"/><Relationship Id="rIdcwascgcb2q08zbxs1ons8" Type="http://schemas.openxmlformats.org/officeDocument/2006/relationships/hyperlink" Target="https://gulfnews.com/business/markets/container-shipping-heads-toward-a-harder-2026-as-red-sea-reopening-pressures-rates-1.500441624" TargetMode="External"/><Relationship Id="rId8valgl4o5kdl8hruufti8" Type="http://schemas.openxmlformats.org/officeDocument/2006/relationships/hyperlink" Target="https://www.asktraders.com/analysis/greggs-shares-rise-as-sales-top-800m-and-trading-momentum-builds/" TargetMode="External"/><Relationship Id="rId4qcsz4xxedz94k_anxxyf" Type="http://schemas.openxmlformats.org/officeDocument/2006/relationships/hyperlink" Target="https://www.morningstar.com/news/alliance-news/1778574964231309100/greggs-says-sales-growth-picks-up-despite-challenging-market" TargetMode="External"/><Relationship Id="rIdbd0zdsiscz1hm9dhjzswk" Type="http://schemas.openxmlformats.org/officeDocument/2006/relationships/hyperlink" Target="https://www.ainvest.com/news/palantir-stock-valuation-growth-sustainability-2026-government-contracts-ai-adoption-justify-hype-2512/" TargetMode="External"/><Relationship Id="rIdslvh2gvzgr8a6qrzmjnri" Type="http://schemas.openxmlformats.org/officeDocument/2006/relationships/hyperlink" Target="https://intellectia.ai/news/stock/palantir-secures-major-government-contracts-amid-valuation-concerns" TargetMode="External"/><Relationship Id="rIdq9mmutgmgpdrotluathsz" Type="http://schemas.openxmlformats.org/officeDocument/2006/relationships/hyperlink" Target="https://www.ainvest.com/news/palantir-stock-buy-2026-balancing-ai-ambition-valuation-regulatory-risks-2512/" TargetMode="External"/><Relationship Id="rId_oos0vcatcjkwfpg1te0q" Type="http://schemas.openxmlformats.org/officeDocument/2006/relationships/hyperlink" Target="https://carboncredits.com/uranium-prices-2026-supply-crunch-and-rising-demand-fuel-a-nuclear-bull-market/" TargetMode="External"/><Relationship Id="rIdp9sabxu0itaftkbgauw6i" Type="http://schemas.openxmlformats.org/officeDocument/2006/relationships/hyperlink" Target="https://www.indexbox.io/blog/cameco-the-largest-pure-play-nuclear-company-amid-rising-uranium-demand/" TargetMode="External"/><Relationship Id="rIdfqp4njpjjn9dnbtj3pllm" Type="http://schemas.openxmlformats.org/officeDocument/2006/relationships/hyperlink" Target="https://www.investorideas.com/news/2026/energy/05131-nuclear-stocks-ai-power-demand.asp" TargetMode="External"/><Relationship Id="rIdlta8vxqiid9vho0scw3jr" Type="http://schemas.openxmlformats.org/officeDocument/2006/relationships/hyperlink" Target="https://fortune.com/2026/05/22/jamie-dimon-exuberance-stock-market-bubble-alan-greenspan-history/" TargetMode="External"/><Relationship Id="rIdwtgt0i4pbced6ouaafrj-" Type="http://schemas.openxmlformats.org/officeDocument/2006/relationships/hyperlink" Target="https://moneywise.com/investing/stocks/dimon-burry-stock-market-exuberance-ai-bubble-warning" TargetMode="External"/><Relationship Id="rIdhyii_scc-i8vtyas_vmag" Type="http://schemas.openxmlformats.org/officeDocument/2006/relationships/hyperlink" Target="https://fortune.com/2026/06/08/ai-boom-tech-stocks-bubble-fears-earnings-growth-chipmakers-ipo/" TargetMode="External"/><Relationship Id="rIdcgiwprezfdwmsjb8ply1w" Type="http://schemas.openxmlformats.org/officeDocument/2006/relationships/hyperlink" Target="https://www.cnbc.com/2026/03/29/pokemon-card-values-rise-logan-paul-pikachu-auction.html" TargetMode="External"/><Relationship Id="rIdgcebolpqzzff7yiqrq8-n" Type="http://schemas.openxmlformats.org/officeDocument/2006/relationships/hyperlink" Target="https://www.si.com/collectibles/world-record-charizard-headlines-top-pokemon-card-sales-of-march-2026" TargetMode="External"/><Relationship Id="rIdeoaao96ld3fpwzwj_00a0" Type="http://schemas.openxmlformats.org/officeDocument/2006/relationships/hyperlink" Target="https://seller.tcgplayer.com/blog/price-trends-pok%C3%A9mon-cards-climbing-in-price-06-23-2026" TargetMode="External"/><Relationship Id="rIdtwn1brwaq2fji7jput2no" Type="http://schemas.openxmlformats.org/officeDocument/2006/relationships/hyperlink" Target="https://www.smithsonianmag.com/history/there-never-was-real-tulip-fever-180964915/" TargetMode="External"/><Relationship Id="rIdr8s179huj9xm0kiio046h" Type="http://schemas.openxmlformats.org/officeDocument/2006/relationships/hyperlink" Target="https://medium.com/thrive-zones/tulipmania-the-myth-that-never-was-b3b04124de1f" TargetMode="External"/><Relationship Id="rIdbq6gko0ncyi69q4cisyic" Type="http://schemas.openxmlformats.org/officeDocument/2006/relationships/hyperlink" Target="https://www.history.com/articles/tulip-mania-financial-crash-holland" TargetMode="External"/><Relationship Id="rIdzvditm5yjs-d-jvhachfr" Type="http://schemas.openxmlformats.org/officeDocument/2006/relationships/hyperlink" Target="https://niftynoon.substack.com/p/niftynoon-why-is-bored-ape-yacht" TargetMode="External"/><Relationship Id="rIdktre0xred-kax6rgcnzvh" Type="http://schemas.openxmlformats.org/officeDocument/2006/relationships/hyperlink" Target="https://www.coindesk.com/markets/2021/12/30/nft-project-bored-ape-yacht-club-spawns-left-facing-copycats" TargetMode="External"/><Relationship Id="rIdc-_x-_7k0i4hh5vs4ytwt" Type="http://schemas.openxmlformats.org/officeDocument/2006/relationships/hyperlink" Target="https://medium.com/@gp2030/metas-80-billion-failure-zuckerberg-keeps-trying-to-be-the-android-of-something-632899c0e5aa" TargetMode="External"/><Relationship Id="rIdy6oljbec2suhlxrjdk-9o" Type="http://schemas.openxmlformats.org/officeDocument/2006/relationships/hyperlink" Target="https://futurism.com/future-society/zuckerberg-metaverse-cuts" TargetMode="External"/><Relationship Id="rIdsgiql9zfs--f0snyrjbav" Type="http://schemas.openxmlformats.org/officeDocument/2006/relationships/hyperlink" Target="https://finance.yahoo.com/sectors/technology/articles/mark-zuckerbergs-80-billion-metaverse-000000105.html" TargetMode="External"/><Relationship Id="rId23grllq9x8hpoua4m8l79" Type="http://schemas.openxmlformats.org/officeDocument/2006/relationships/hyperlink" Target="https://www.masterresource.org/electric-vehicles/fraud-nikola-milton-defraud/" TargetMode="External"/><Relationship Id="rIdvyri5ykimriih_heersoc" Type="http://schemas.openxmlformats.org/officeDocument/2006/relationships/hyperlink" Target="https://www.cbsnews.com/news/trucks-fraud-investors-trevor-milton-nikola-electric-zero-emissions/" TargetMode="External"/><Relationship Id="rId6mar0zo_hnrbjnydxescb" Type="http://schemas.openxmlformats.org/officeDocument/2006/relationships/hyperlink" Target="https://physicsworld.com/a/tech-phoenix-how-electric-vehicle-manufacturer-nikola-corporation-is-rising-from-the-ashes/" TargetMode="External"/><Relationship Id="rIdzvsmvmklb1joygdvmne1a" Type="http://schemas.openxmlformats.org/officeDocument/2006/relationships/hyperlink" Target="https://www.voxelmatters.com/ten-years-since-3d-printings-all-time-stock-market-peak/" TargetMode="External"/><Relationship Id="rId8lajrv3ucdr68vo9qu6l5" Type="http://schemas.openxmlformats.org/officeDocument/2006/relationships/hyperlink" Target="https://www.zerohedge.com/news/2015-04-30/one-bubble-time-3d-printing-stocks-implode" TargetMode="External"/><Relationship Id="rId-bjxm01yfyqpzirnfk9x4" Type="http://schemas.openxmlformats.org/officeDocument/2006/relationships/hyperlink" Target="https://www.cnbc.com/2014/08/01/has-the-3-d-printing-bubble-already-burst.html" TargetMode="External"/><Relationship Id="rIdfyaupd_42ymb98rwjouvc" Type="http://schemas.openxmlformats.org/officeDocument/2006/relationships/hyperlink" Target="https://www.fool.com/investing/2026/05/28/quantum-computing-ionq-rgti-qbts-wall-st-warning/" TargetMode="External"/><Relationship Id="rIds7nl5rnyiexynhefpppbd" Type="http://schemas.openxmlformats.org/officeDocument/2006/relationships/hyperlink" Target="https://www.aol.com/finance/beyond-hype-5-reasons-quantum-135600199.html" TargetMode="External"/><Relationship Id="rIdjktldjude1z7xqtuslihg" Type="http://schemas.openxmlformats.org/officeDocument/2006/relationships/hyperlink" Target="https://fortune.com/2026/06/08/ai-boom-tech-stocks-bubble-fears-earnings-growth-chipmakers-ipo/" TargetMode="External"/><Relationship Id="rIdsdkorpr4blxnhdjuqndkg" Type="http://schemas.openxmlformats.org/officeDocument/2006/relationships/hyperlink" Target="/hype" TargetMode="External"/><Relationship Id="rId7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2026-08-05T04:03:25.796Z</dcterms:created>
  <dcterms:modified xsi:type="dcterms:W3CDTF">2026-08-05T04:03:25.798Z</dcterms:modified>
</cp:coreProperties>
</file>

<file path=docProps/custom.xml><?xml version="1.0" encoding="utf-8"?>
<Properties xmlns="http://schemas.openxmlformats.org/officeDocument/2006/custom-properties" xmlns:vt="http://schemas.openxmlformats.org/officeDocument/2006/docPropsVTypes"/>
</file>